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7342" w:rsidRPr="00891BE5" w:rsidRDefault="00797342" w:rsidP="00CC1AD7">
      <w:pPr>
        <w:pStyle w:val="aa"/>
        <w:ind w:left="289"/>
        <w:rPr>
          <w:rFonts w:ascii="Meiryo UI" w:eastAsia="Meiryo UI"/>
          <w:b/>
          <w:bCs/>
          <w:color w:val="000000" w:themeColor="text1"/>
          <w:sz w:val="22"/>
          <w:szCs w:val="22"/>
          <w:lang w:eastAsia="ja-JP"/>
        </w:rPr>
      </w:pPr>
      <w:r w:rsidRPr="00CC1AD7">
        <w:rPr>
          <w:rFonts w:ascii="Meiryo UI" w:eastAsia="Meiryo UI" w:hint="eastAsia"/>
          <w:b/>
          <w:bCs/>
          <w:color w:val="000000" w:themeColor="text1"/>
          <w:sz w:val="22"/>
          <w:szCs w:val="22"/>
          <w:lang w:eastAsia="ja-JP"/>
        </w:rPr>
        <w:t>三池港</w:t>
      </w:r>
    </w:p>
    <w:p w:rsidR="00797342" w:rsidRPr="001B3BFC" w:rsidRDefault="00797342" w:rsidP="00CC1AD7">
      <w:pPr>
        <w:ind w:left="289"/>
        <w:jc w:val="both"/>
        <w:rPr>
          <w:rFonts w:ascii="Meiryo UI" w:eastAsia="Meiryo UI" w:hAnsi="Meiryo UI"/>
          <w:color w:val="156082" w:themeColor="accent1"/>
        </w:rPr>
      </w:pPr>
      <w:r/>
    </w:p>
    <w:p w:rsidR="00797342" w:rsidRPr="00CC1AD7" w:rsidRDefault="00797342" w:rsidP="00CC1AD7">
      <w:pPr>
        <w:widowControl/>
        <w:spacing w:before="7" w:after="1"/>
        <w:ind w:left="289" w:right="284"/>
        <w:jc w:val="both"/>
        <w:rPr>
          <w:rFonts w:ascii="Meiryo UI" w:eastAsia="Meiryo UI" w:hAnsi="Meiryo UI"/>
          <w:bCs/>
          <w:szCs w:val="21"/>
        </w:rPr>
      </w:pPr>
      <w:r w:rsidRPr="00CC1AD7">
        <w:rPr>
          <w:rFonts w:ascii="Meiryo UI" w:eastAsia="Meiryo UI" w:hAnsi="Meiryo UI" w:hint="eastAsia"/>
          <w:bCs/>
          <w:szCs w:val="21"/>
        </w:rPr>
        <w:t>三池港が建設される前は、三池炭</w:t>
      </w:r>
      <w:r w:rsidRPr="00CC1AD7">
        <w:rPr>
          <w:rFonts w:ascii="Meiryo UI" w:eastAsia="Meiryo UI" w:hAnsi="Meiryo UI" w:cs="ＭＳ 明朝" w:hint="eastAsia"/>
          <w:bCs/>
          <w:szCs w:val="21"/>
        </w:rPr>
        <w:t>鉱</w:t>
      </w:r>
      <w:r w:rsidRPr="00CC1AD7">
        <w:rPr>
          <w:rFonts w:ascii="Meiryo UI" w:eastAsia="Meiryo UI" w:hAnsi="Meiryo UI" w:cs="Batang" w:hint="eastAsia"/>
          <w:bCs/>
          <w:szCs w:val="21"/>
        </w:rPr>
        <w:t>で採掘された石炭は三池炭</w:t>
      </w:r>
      <w:r w:rsidRPr="00CC1AD7">
        <w:rPr>
          <w:rFonts w:ascii="Meiryo UI" w:eastAsia="Meiryo UI" w:hAnsi="Meiryo UI" w:cs="ＭＳ 明朝" w:hint="eastAsia"/>
          <w:bCs/>
          <w:szCs w:val="21"/>
        </w:rPr>
        <w:t>鉱専用鉄</w:t>
      </w:r>
      <w:r w:rsidRPr="00CC1AD7">
        <w:rPr>
          <w:rFonts w:ascii="Meiryo UI" w:eastAsia="Meiryo UI" w:hAnsi="Meiryo UI" w:cs="Batang" w:hint="eastAsia"/>
          <w:bCs/>
          <w:szCs w:val="21"/>
        </w:rPr>
        <w:t>道で大牟田川の河口まで運ばれ、そこで船に積み替えられて近隣の</w:t>
      </w:r>
      <w:r w:rsidRPr="00CC1AD7">
        <w:rPr>
          <w:rFonts w:ascii="Meiryo UI" w:eastAsia="Meiryo UI" w:hAnsi="Meiryo UI" w:hint="eastAsia"/>
          <w:bCs/>
          <w:szCs w:val="21"/>
        </w:rPr>
        <w:t>2つの港に運ばれていた。1900年までに、炭</w:t>
      </w:r>
      <w:r w:rsidRPr="00CC1AD7">
        <w:rPr>
          <w:rFonts w:ascii="Meiryo UI" w:eastAsia="Meiryo UI" w:hAnsi="Meiryo UI" w:cs="ＭＳ 明朝" w:hint="eastAsia"/>
          <w:bCs/>
          <w:szCs w:val="21"/>
        </w:rPr>
        <w:t>鉱</w:t>
      </w:r>
      <w:r w:rsidRPr="00CC1AD7">
        <w:rPr>
          <w:rFonts w:ascii="Meiryo UI" w:eastAsia="Meiryo UI" w:hAnsi="Meiryo UI" w:cs="Batang" w:hint="eastAsia"/>
          <w:bCs/>
          <w:szCs w:val="21"/>
        </w:rPr>
        <w:t>を経営していた三井グル</w:t>
      </w:r>
      <w:r w:rsidRPr="00CC1AD7">
        <w:rPr>
          <w:rFonts w:ascii="Meiryo UI" w:eastAsia="Meiryo UI" w:hAnsi="Meiryo UI" w:cs="ＭＳ 明朝" w:hint="eastAsia"/>
          <w:bCs/>
          <w:szCs w:val="21"/>
        </w:rPr>
        <w:t>ー</w:t>
      </w:r>
      <w:r w:rsidRPr="00CC1AD7">
        <w:rPr>
          <w:rFonts w:ascii="Meiryo UI" w:eastAsia="Meiryo UI" w:hAnsi="Meiryo UI" w:cs="Batang" w:hint="eastAsia"/>
          <w:bCs/>
          <w:szCs w:val="21"/>
        </w:rPr>
        <w:t>プは、船舶の</w:t>
      </w:r>
      <w:r w:rsidRPr="00CC1AD7">
        <w:rPr>
          <w:rFonts w:ascii="Meiryo UI" w:eastAsia="Meiryo UI" w:hAnsi="Meiryo UI" w:cs="ＭＳ 明朝" w:hint="eastAsia"/>
          <w:bCs/>
          <w:szCs w:val="21"/>
        </w:rPr>
        <w:t>効</w:t>
      </w:r>
      <w:r w:rsidRPr="00CC1AD7">
        <w:rPr>
          <w:rFonts w:ascii="Meiryo UI" w:eastAsia="Meiryo UI" w:hAnsi="Meiryo UI" w:cs="Batang" w:hint="eastAsia"/>
          <w:bCs/>
          <w:szCs w:val="21"/>
        </w:rPr>
        <w:t>率性を高め、</w:t>
      </w:r>
      <w:r w:rsidRPr="00CC1AD7">
        <w:rPr>
          <w:rFonts w:ascii="Meiryo UI" w:eastAsia="Meiryo UI" w:hAnsi="Meiryo UI" w:cs="ＭＳ 明朝" w:hint="eastAsia"/>
          <w:bCs/>
          <w:szCs w:val="21"/>
        </w:rPr>
        <w:t>増</w:t>
      </w:r>
      <w:r w:rsidRPr="00CC1AD7">
        <w:rPr>
          <w:rFonts w:ascii="Meiryo UI" w:eastAsia="Meiryo UI" w:hAnsi="Meiryo UI" w:cs="Batang" w:hint="eastAsia"/>
          <w:bCs/>
          <w:szCs w:val="21"/>
        </w:rPr>
        <w:t>産に</w:t>
      </w:r>
      <w:r w:rsidRPr="00CC1AD7">
        <w:rPr>
          <w:rFonts w:ascii="Meiryo UI" w:eastAsia="Meiryo UI" w:hAnsi="Meiryo UI" w:cs="ＭＳ 明朝" w:hint="eastAsia"/>
          <w:bCs/>
          <w:szCs w:val="21"/>
        </w:rPr>
        <w:t>対応</w:t>
      </w:r>
      <w:r w:rsidRPr="00CC1AD7">
        <w:rPr>
          <w:rFonts w:ascii="Meiryo UI" w:eastAsia="Meiryo UI" w:hAnsi="Meiryo UI" w:cs="Batang" w:hint="eastAsia"/>
          <w:bCs/>
          <w:szCs w:val="21"/>
        </w:rPr>
        <w:t>し、コストを削減するために、新しい港を必要としていた。しかし、有明海東岸の</w:t>
      </w:r>
      <w:r w:rsidRPr="00CC1AD7">
        <w:rPr>
          <w:rFonts w:ascii="Meiryo UI" w:eastAsia="Meiryo UI" w:hAnsi="Meiryo UI" w:cs="ＭＳ 明朝" w:hint="eastAsia"/>
          <w:bCs/>
          <w:szCs w:val="21"/>
        </w:rPr>
        <w:t>浅</w:t>
      </w:r>
      <w:r w:rsidRPr="00CC1AD7">
        <w:rPr>
          <w:rFonts w:ascii="Meiryo UI" w:eastAsia="Meiryo UI" w:hAnsi="Meiryo UI" w:cs="Batang" w:hint="eastAsia"/>
          <w:bCs/>
          <w:szCs w:val="21"/>
        </w:rPr>
        <w:t>い港では大型船の受け入れは不可能であった。</w:t>
      </w:r>
    </w:p>
    <w:p w:rsidR="00797342" w:rsidRPr="00CC1AD7" w:rsidRDefault="00797342" w:rsidP="00CC1AD7">
      <w:pPr>
        <w:widowControl/>
        <w:spacing w:before="7" w:after="1"/>
        <w:ind w:left="289" w:right="284"/>
        <w:jc w:val="both"/>
        <w:rPr>
          <w:rFonts w:ascii="Meiryo UI" w:eastAsia="Meiryo UI" w:hAnsi="Meiryo UI"/>
          <w:bCs/>
          <w:szCs w:val="21"/>
        </w:rPr>
      </w:pPr>
    </w:p>
    <w:p w:rsidR="00797342" w:rsidRPr="00CC1AD7" w:rsidRDefault="00797342" w:rsidP="00CC1AD7">
      <w:pPr>
        <w:widowControl/>
        <w:spacing w:before="7" w:after="1"/>
        <w:ind w:left="289" w:right="284"/>
        <w:jc w:val="both"/>
        <w:rPr>
          <w:rFonts w:ascii="Meiryo UI" w:eastAsia="Meiryo UI" w:hAnsi="Meiryo UI"/>
          <w:bCs/>
          <w:szCs w:val="21"/>
        </w:rPr>
      </w:pPr>
      <w:r w:rsidRPr="00CC1AD7">
        <w:rPr>
          <w:rFonts w:ascii="Meiryo UI" w:eastAsia="Meiryo UI" w:hAnsi="Meiryo UI" w:hint="eastAsia"/>
          <w:bCs/>
          <w:szCs w:val="21"/>
        </w:rPr>
        <w:t>そこで三井</w:t>
      </w:r>
      <w:r w:rsidRPr="00CC1AD7">
        <w:rPr>
          <w:rFonts w:ascii="Meiryo UI" w:eastAsia="Meiryo UI" w:hAnsi="Meiryo UI" w:cs="Batang" w:hint="eastAsia"/>
          <w:bCs/>
          <w:szCs w:val="21"/>
        </w:rPr>
        <w:t>は近代的な深水港の建設に着手した。まず</w:t>
      </w:r>
      <w:r w:rsidRPr="00CC1AD7">
        <w:rPr>
          <w:rFonts w:ascii="Meiryo UI" w:eastAsia="Meiryo UI" w:hAnsi="Meiryo UI" w:hint="eastAsia"/>
          <w:bCs/>
          <w:szCs w:val="21"/>
        </w:rPr>
        <w:t>1902年に、水路を浚渫する前に干潟を堰き止める堤防を築いた。水路の水深が十分確保されると、再び砂が堆積するのを防ぐため、</w:t>
      </w:r>
      <w:r w:rsidRPr="00CC1AD7">
        <w:rPr>
          <w:rFonts w:ascii="Meiryo UI" w:eastAsia="Meiryo UI" w:hAnsi="Meiryo UI" w:cs="ＭＳ 明朝" w:hint="eastAsia"/>
          <w:bCs/>
          <w:szCs w:val="21"/>
        </w:rPr>
        <w:t>両</w:t>
      </w:r>
      <w:r w:rsidRPr="00CC1AD7">
        <w:rPr>
          <w:rFonts w:ascii="Meiryo UI" w:eastAsia="Meiryo UI" w:hAnsi="Meiryo UI" w:cs="Batang" w:hint="eastAsia"/>
          <w:bCs/>
          <w:szCs w:val="21"/>
        </w:rPr>
        <w:t>側に長い防砂堤が建設された。</w:t>
      </w:r>
      <w:r w:rsidRPr="00CC1AD7">
        <w:rPr>
          <w:rFonts w:ascii="Meiryo UI" w:eastAsia="Meiryo UI" w:hAnsi="Meiryo UI" w:hint="eastAsia"/>
          <w:bCs/>
          <w:szCs w:val="21"/>
        </w:rPr>
        <w:t>1905年には、干潮時でもドックの水位を8.5メ</w:t>
      </w:r>
      <w:r w:rsidRPr="00CC1AD7">
        <w:rPr>
          <w:rFonts w:ascii="Meiryo UI" w:eastAsia="Meiryo UI" w:hAnsi="Meiryo UI" w:cs="ＭＳ 明朝" w:hint="eastAsia"/>
          <w:bCs/>
          <w:szCs w:val="21"/>
        </w:rPr>
        <w:t>ー</w:t>
      </w:r>
      <w:r w:rsidRPr="00CC1AD7">
        <w:rPr>
          <w:rFonts w:ascii="Meiryo UI" w:eastAsia="Meiryo UI" w:hAnsi="Meiryo UI" w:cs="Batang" w:hint="eastAsia"/>
          <w:bCs/>
          <w:szCs w:val="21"/>
        </w:rPr>
        <w:t>トル以上に保つための閘門（幅</w:t>
      </w:r>
      <w:r w:rsidRPr="00CC1AD7">
        <w:rPr>
          <w:rFonts w:ascii="Meiryo UI" w:eastAsia="Meiryo UI" w:hAnsi="Meiryo UI" w:hint="eastAsia"/>
          <w:bCs/>
          <w:szCs w:val="21"/>
        </w:rPr>
        <w:t>20.12メ</w:t>
      </w:r>
      <w:r w:rsidRPr="00CC1AD7">
        <w:rPr>
          <w:rFonts w:ascii="Meiryo UI" w:eastAsia="Meiryo UI" w:hAnsi="Meiryo UI" w:cs="ＭＳ 明朝" w:hint="eastAsia"/>
          <w:bCs/>
          <w:szCs w:val="21"/>
        </w:rPr>
        <w:t>ー</w:t>
      </w:r>
      <w:r w:rsidRPr="00CC1AD7">
        <w:rPr>
          <w:rFonts w:ascii="Meiryo UI" w:eastAsia="Meiryo UI" w:hAnsi="Meiryo UI" w:cs="Batang" w:hint="eastAsia"/>
          <w:bCs/>
          <w:szCs w:val="21"/>
        </w:rPr>
        <w:t>トル、長さ</w:t>
      </w:r>
      <w:r w:rsidRPr="00CC1AD7">
        <w:rPr>
          <w:rFonts w:ascii="Meiryo UI" w:eastAsia="Meiryo UI" w:hAnsi="Meiryo UI" w:hint="eastAsia"/>
          <w:bCs/>
          <w:szCs w:val="21"/>
        </w:rPr>
        <w:t>37.51メ</w:t>
      </w:r>
      <w:r w:rsidRPr="00CC1AD7">
        <w:rPr>
          <w:rFonts w:ascii="Meiryo UI" w:eastAsia="Meiryo UI" w:hAnsi="Meiryo UI" w:cs="ＭＳ 明朝" w:hint="eastAsia"/>
          <w:bCs/>
          <w:szCs w:val="21"/>
        </w:rPr>
        <w:t>ー</w:t>
      </w:r>
      <w:r w:rsidRPr="00CC1AD7">
        <w:rPr>
          <w:rFonts w:ascii="Meiryo UI" w:eastAsia="Meiryo UI" w:hAnsi="Meiryo UI" w:cs="Batang" w:hint="eastAsia"/>
          <w:bCs/>
          <w:szCs w:val="21"/>
        </w:rPr>
        <w:t>トル）の建設が始まった。</w:t>
      </w:r>
      <w:r w:rsidRPr="00CC1AD7">
        <w:rPr>
          <w:rFonts w:ascii="Meiryo UI" w:eastAsia="Meiryo UI" w:hAnsi="Meiryo UI" w:hint="eastAsia"/>
          <w:bCs/>
          <w:szCs w:val="21"/>
        </w:rPr>
        <w:t>1908年に完成したこの施設は、日本で唯一の閘門式港</w:t>
      </w:r>
      <w:r w:rsidRPr="00CC1AD7">
        <w:rPr>
          <w:rFonts w:ascii="Meiryo UI" w:eastAsia="Meiryo UI" w:hAnsi="Meiryo UI" w:cs="ＭＳ 明朝" w:hint="eastAsia"/>
          <w:bCs/>
          <w:szCs w:val="21"/>
        </w:rPr>
        <w:t>湾</w:t>
      </w:r>
      <w:r w:rsidRPr="00CC1AD7">
        <w:rPr>
          <w:rFonts w:ascii="Meiryo UI" w:eastAsia="Meiryo UI" w:hAnsi="Meiryo UI" w:cs="Batang" w:hint="eastAsia"/>
          <w:bCs/>
          <w:szCs w:val="21"/>
        </w:rPr>
        <w:t>である。港の形は上空から見るとハチドリに似ており、航路はくちばし、港は胴体と</w:t>
      </w:r>
      <w:r w:rsidRPr="00CC1AD7">
        <w:rPr>
          <w:rFonts w:ascii="Meiryo UI" w:eastAsia="Meiryo UI" w:hAnsi="Meiryo UI" w:cs="ＭＳ 明朝" w:hint="eastAsia"/>
          <w:bCs/>
          <w:szCs w:val="21"/>
        </w:rPr>
        <w:t>広</w:t>
      </w:r>
      <w:r w:rsidRPr="00CC1AD7">
        <w:rPr>
          <w:rFonts w:ascii="Meiryo UI" w:eastAsia="Meiryo UI" w:hAnsi="Meiryo UI" w:cs="Batang" w:hint="eastAsia"/>
          <w:bCs/>
          <w:szCs w:val="21"/>
        </w:rPr>
        <w:t>げた翼、ドックは尾に例えられる。</w:t>
      </w:r>
    </w:p>
    <w:p w:rsidR="00797342" w:rsidRPr="00CC1AD7" w:rsidRDefault="00797342" w:rsidP="00CC1AD7">
      <w:pPr>
        <w:widowControl/>
        <w:spacing w:before="7" w:after="1"/>
        <w:ind w:left="289" w:right="284"/>
        <w:jc w:val="both"/>
        <w:rPr>
          <w:rFonts w:ascii="Meiryo UI" w:eastAsia="Meiryo UI" w:hAnsi="Meiryo UI"/>
          <w:bCs/>
          <w:szCs w:val="21"/>
        </w:rPr>
      </w:pPr>
    </w:p>
    <w:p w:rsidR="00797342" w:rsidRPr="00CC1AD7" w:rsidRDefault="00797342" w:rsidP="00CC1AD7">
      <w:pPr>
        <w:widowControl/>
        <w:spacing w:before="7" w:after="1"/>
        <w:ind w:left="289" w:right="284"/>
        <w:jc w:val="both"/>
        <w:rPr>
          <w:rFonts w:ascii="Meiryo UI" w:eastAsia="Meiryo UI" w:hAnsi="Meiryo UI"/>
          <w:bCs/>
          <w:szCs w:val="21"/>
        </w:rPr>
      </w:pPr>
      <w:r w:rsidRPr="00CC1AD7">
        <w:rPr>
          <w:rFonts w:ascii="Meiryo UI" w:eastAsia="Meiryo UI" w:hAnsi="Meiryo UI" w:cs="Batang" w:hint="eastAsia"/>
          <w:bCs/>
          <w:szCs w:val="21"/>
        </w:rPr>
        <w:t>船は港に入港し、ドックエリアに入るのを待つ。</w:t>
      </w:r>
      <w:r w:rsidRPr="00CC1AD7">
        <w:rPr>
          <w:rFonts w:ascii="Meiryo UI" w:eastAsia="Meiryo UI" w:hAnsi="Meiryo UI" w:hint="eastAsia"/>
          <w:bCs/>
          <w:szCs w:val="21"/>
        </w:rPr>
        <w:t>そこで船積機が1万トン級の船3隻の船倉に石炭を同時に積み込む。三池港が完成すると、大牟田の</w:t>
      </w:r>
      <w:r w:rsidRPr="00CC1AD7">
        <w:rPr>
          <w:rFonts w:ascii="Meiryo UI" w:eastAsia="Meiryo UI" w:hAnsi="Meiryo UI" w:cs="Batang" w:hint="eastAsia"/>
          <w:bCs/>
          <w:szCs w:val="21"/>
        </w:rPr>
        <w:t>石炭は上海、香港、シンガポ</w:t>
      </w:r>
      <w:r w:rsidRPr="00CC1AD7">
        <w:rPr>
          <w:rFonts w:ascii="Meiryo UI" w:eastAsia="Meiryo UI" w:hAnsi="Meiryo UI" w:cs="ＭＳ 明朝" w:hint="eastAsia"/>
          <w:bCs/>
          <w:szCs w:val="21"/>
        </w:rPr>
        <w:t>ー</w:t>
      </w:r>
      <w:r w:rsidRPr="00CC1AD7">
        <w:rPr>
          <w:rFonts w:ascii="Meiryo UI" w:eastAsia="Meiryo UI" w:hAnsi="Meiryo UI" w:cs="Batang" w:hint="eastAsia"/>
          <w:bCs/>
          <w:szCs w:val="21"/>
        </w:rPr>
        <w:t>ルへと輸出された。</w:t>
      </w:r>
    </w:p>
    <w:p w:rsidR="00797342" w:rsidRPr="00CC1AD7" w:rsidRDefault="00797342" w:rsidP="00CC1AD7">
      <w:pPr>
        <w:widowControl/>
        <w:spacing w:before="7" w:after="1"/>
        <w:ind w:left="289" w:right="284"/>
        <w:jc w:val="both"/>
        <w:rPr>
          <w:rFonts w:ascii="Meiryo UI" w:eastAsia="Meiryo UI" w:hAnsi="Meiryo UI"/>
          <w:bCs/>
          <w:szCs w:val="21"/>
        </w:rPr>
      </w:pPr>
    </w:p>
    <w:p w:rsidR="00797342" w:rsidRPr="00CC1AD7" w:rsidRDefault="00797342" w:rsidP="00CC1AD7">
      <w:pPr>
        <w:widowControl/>
        <w:spacing w:before="7" w:after="1"/>
        <w:ind w:left="289" w:right="284"/>
        <w:jc w:val="both"/>
        <w:rPr>
          <w:rFonts w:ascii="Meiryo UI" w:eastAsia="Meiryo UI" w:hAnsi="Meiryo UI"/>
          <w:bCs/>
          <w:szCs w:val="21"/>
        </w:rPr>
      </w:pPr>
      <w:r>
        <w:rPr>
          <w:noProof/>
        </w:rPr>
        <mc:AlternateContent>
          <mc:Choice Requires="wps">
            <w:drawing>
              <wp:anchor distT="0" distB="0" distL="114300" distR="114300" simplePos="0" relativeHeight="251660288" behindDoc="1" locked="0" layoutInCell="1" allowOverlap="1" wp14:anchorId="2EADA1AA" wp14:editId="561FC881">
                <wp:simplePos x="0" y="0"/>
                <wp:positionH relativeFrom="page">
                  <wp:posOffset>1032095</wp:posOffset>
                </wp:positionH>
                <wp:positionV relativeFrom="paragraph">
                  <wp:posOffset>-16472</wp:posOffset>
                </wp:positionV>
                <wp:extent cx="5613400" cy="2842788"/>
                <wp:effectExtent l="0" t="0" r="12700" b="15240"/>
                <wp:wrapNone/>
                <wp:docPr id="214302344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842788"/>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904E3" id="docshape8" o:spid="_x0000_s1026" style="position:absolute;margin-left:81.25pt;margin-top:-1.3pt;width:442pt;height:223.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" filled="f" strokecolor="#231f20" strokeweight=".28pt">
                <v:path arrowok="t"/>
                <w10:wrap anchorx="page"/>
              </v:rect>
            </w:pict>
          </mc:Fallback>
        </mc:AlternateContent>
      </w:r>
      <w:r w:rsidRPr="00CC1AD7">
        <w:rPr>
          <w:rFonts w:ascii="Meiryo UI" w:eastAsia="Meiryo UI" w:hAnsi="Meiryo UI" w:hint="eastAsia"/>
          <w:bCs/>
          <w:szCs w:val="21"/>
        </w:rPr>
        <w:t>有明海からドックエリアまでの航路は全長1,830メートル、幅137メートル。港の面積は約50万平方メートル、ドックエリアは13万平方メートルである。</w:t>
      </w:r>
    </w:p>
    <w:p w:rsidR="00797342" w:rsidRPr="00CC1AD7" w:rsidRDefault="00797342" w:rsidP="00CC1AD7">
      <w:pPr>
        <w:widowControl/>
        <w:spacing w:before="7" w:after="1"/>
        <w:ind w:left="289" w:right="284"/>
        <w:jc w:val="both"/>
        <w:rPr>
          <w:rFonts w:ascii="Meiryo UI" w:eastAsia="Meiryo UI" w:hAnsi="Meiryo UI"/>
          <w:bCs/>
          <w:szCs w:val="21"/>
        </w:rPr>
      </w:pPr>
    </w:p>
    <w:p w:rsidR="00797342" w:rsidRPr="00CC1AD7" w:rsidRDefault="00797342" w:rsidP="00CC1AD7">
      <w:pPr>
        <w:spacing w:before="7" w:after="1"/>
        <w:ind w:left="289" w:right="284"/>
        <w:jc w:val="both"/>
        <w:rPr>
          <w:rFonts w:ascii="Meiryo UI" w:eastAsia="Meiryo UI" w:hAnsi="Meiryo UI"/>
          <w:bCs/>
          <w:szCs w:val="21"/>
        </w:rPr>
      </w:pPr>
      <w:r w:rsidRPr="00CC1AD7">
        <w:rPr>
          <w:rFonts w:ascii="Meiryo UI" w:eastAsia="Meiryo UI" w:hAnsi="Meiryo UI" w:hint="eastAsia"/>
          <w:bCs/>
          <w:szCs w:val="21"/>
        </w:rPr>
        <w:t>三池港は現在福岡県の管理下にあり、港湾施設は北側に移転した。船舶の大型化に伴い水門は狭くなったものの水門は定期的に開閉され、水門や水圧機関は今も正常に作動する状態を保っている。</w:t>
      </w:r>
    </w:p>
    <w:p w:rsidR="00797342" w:rsidRPr="00CC1AD7" w:rsidRDefault="00797342" w:rsidP="00CC1AD7">
      <w:pPr>
        <w:widowControl/>
        <w:spacing w:before="7" w:after="1"/>
        <w:ind w:left="289" w:right="284"/>
        <w:jc w:val="both"/>
        <w:rPr>
          <w:rFonts w:ascii="Meiryo UI" w:eastAsia="Meiryo UI" w:hAnsi="Meiryo UI"/>
          <w:bCs/>
          <w:szCs w:val="21"/>
        </w:rPr>
      </w:pPr>
    </w:p>
    <w:p w:rsidR="00797342" w:rsidRPr="00CC1AD7" w:rsidRDefault="00797342" w:rsidP="00CC1AD7">
      <w:pPr>
        <w:widowControl/>
        <w:spacing w:before="7" w:after="1"/>
        <w:ind w:left="289" w:right="284"/>
        <w:jc w:val="both"/>
        <w:rPr>
          <w:rFonts w:ascii="Meiryo UI" w:eastAsia="Meiryo UI" w:hAnsi="Meiryo UI"/>
          <w:bCs/>
          <w:szCs w:val="21"/>
        </w:rPr>
      </w:pPr>
      <w:r w:rsidRPr="00CC1AD7">
        <w:rPr>
          <w:rFonts w:ascii="Meiryo UI" w:eastAsia="Meiryo UI" w:hAnsi="Meiryo UI" w:cs="ＭＳ 明朝" w:hint="eastAsia"/>
          <w:bCs/>
          <w:szCs w:val="21"/>
        </w:rPr>
        <w:t>旧税関</w:t>
      </w:r>
      <w:r w:rsidRPr="00CC1AD7">
        <w:rPr>
          <w:rFonts w:ascii="Meiryo UI" w:eastAsia="Meiryo UI" w:hAnsi="Meiryo UI" w:cs="Batang" w:hint="eastAsia"/>
          <w:bCs/>
          <w:szCs w:val="21"/>
        </w:rPr>
        <w:t>の近くにある</w:t>
      </w:r>
      <w:r w:rsidRPr="00CC1AD7">
        <w:rPr>
          <w:rFonts w:ascii="Meiryo UI" w:eastAsia="Meiryo UI" w:hAnsi="Meiryo UI" w:cs="ＭＳ 明朝" w:hint="eastAsia"/>
          <w:bCs/>
          <w:szCs w:val="21"/>
        </w:rPr>
        <w:t>黄</w:t>
      </w:r>
      <w:r w:rsidRPr="00CC1AD7">
        <w:rPr>
          <w:rFonts w:ascii="Meiryo UI" w:eastAsia="Meiryo UI" w:hAnsi="Meiryo UI" w:cs="Batang" w:hint="eastAsia"/>
          <w:bCs/>
          <w:szCs w:val="21"/>
        </w:rPr>
        <w:t>色い浮きクレ</w:t>
      </w:r>
      <w:r w:rsidRPr="00CC1AD7">
        <w:rPr>
          <w:rFonts w:ascii="Meiryo UI" w:eastAsia="Meiryo UI" w:hAnsi="Meiryo UI" w:cs="ＭＳ 明朝" w:hint="eastAsia"/>
          <w:bCs/>
          <w:szCs w:val="21"/>
        </w:rPr>
        <w:t>ー</w:t>
      </w:r>
      <w:r w:rsidRPr="00CC1AD7">
        <w:rPr>
          <w:rFonts w:ascii="Meiryo UI" w:eastAsia="Meiryo UI" w:hAnsi="Meiryo UI" w:cs="Batang" w:hint="eastAsia"/>
          <w:bCs/>
          <w:szCs w:val="21"/>
        </w:rPr>
        <w:t>ンは英</w:t>
      </w:r>
      <w:r w:rsidRPr="00CC1AD7">
        <w:rPr>
          <w:rFonts w:ascii="Meiryo UI" w:eastAsia="Meiryo UI" w:hAnsi="Meiryo UI" w:cs="ＭＳ 明朝" w:hint="eastAsia"/>
          <w:bCs/>
          <w:szCs w:val="21"/>
        </w:rPr>
        <w:t>国</w:t>
      </w:r>
      <w:r w:rsidRPr="00CC1AD7">
        <w:rPr>
          <w:rFonts w:ascii="Meiryo UI" w:eastAsia="Meiryo UI" w:hAnsi="Meiryo UI" w:cs="Batang" w:hint="eastAsia"/>
          <w:bCs/>
          <w:szCs w:val="21"/>
        </w:rPr>
        <w:t>製で、日本最古のものと思われる。石炭を燃料とする蒸</w:t>
      </w:r>
      <w:r w:rsidRPr="00CC1AD7">
        <w:rPr>
          <w:rFonts w:ascii="Meiryo UI" w:eastAsia="Meiryo UI" w:hAnsi="Meiryo UI" w:cs="ＭＳ 明朝" w:hint="eastAsia"/>
          <w:bCs/>
          <w:szCs w:val="21"/>
        </w:rPr>
        <w:t>気</w:t>
      </w:r>
      <w:r w:rsidRPr="00CC1AD7">
        <w:rPr>
          <w:rFonts w:ascii="Meiryo UI" w:eastAsia="Meiryo UI" w:hAnsi="Meiryo UI" w:cs="Batang" w:hint="eastAsia"/>
          <w:bCs/>
          <w:szCs w:val="21"/>
        </w:rPr>
        <w:t>ボイラ</w:t>
      </w:r>
      <w:r w:rsidRPr="00CC1AD7">
        <w:rPr>
          <w:rFonts w:ascii="Meiryo UI" w:eastAsia="Meiryo UI" w:hAnsi="Meiryo UI" w:cs="ＭＳ 明朝" w:hint="eastAsia"/>
          <w:bCs/>
          <w:szCs w:val="21"/>
        </w:rPr>
        <w:t>ー</w:t>
      </w:r>
      <w:r w:rsidRPr="00CC1AD7">
        <w:rPr>
          <w:rFonts w:ascii="Meiryo UI" w:eastAsia="Meiryo UI" w:hAnsi="Meiryo UI" w:cs="Batang" w:hint="eastAsia"/>
          <w:bCs/>
          <w:szCs w:val="21"/>
        </w:rPr>
        <w:t>で動くが、暖機に</w:t>
      </w:r>
      <w:r w:rsidRPr="00CC1AD7">
        <w:rPr>
          <w:rFonts w:ascii="Meiryo UI" w:eastAsia="Meiryo UI" w:hAnsi="Meiryo UI" w:hint="eastAsia"/>
          <w:bCs/>
          <w:szCs w:val="21"/>
        </w:rPr>
        <w:t>2時間ほどかかる。吊り上げ能力は15トンで、現在でも貨物の移動に使用されている。</w:t>
      </w:r>
    </w:p>
    <w:p w:rsidR="00797342" w:rsidRPr="00CC1AD7" w:rsidRDefault="00797342" w:rsidP="00CC1AD7">
      <w:pPr>
        <w:widowControl/>
        <w:spacing w:before="7" w:after="1"/>
        <w:ind w:left="289" w:right="284"/>
        <w:jc w:val="both"/>
        <w:rPr>
          <w:rFonts w:ascii="Meiryo UI" w:eastAsia="Meiryo UI" w:hAnsi="Meiryo UI"/>
          <w:bCs/>
          <w:szCs w:val="21"/>
        </w:rPr>
      </w:pPr>
    </w:p>
    <w:p w:rsidR="00797342" w:rsidRPr="00CC1AD7" w:rsidRDefault="00797342" w:rsidP="00CC1AD7">
      <w:pPr>
        <w:widowControl/>
        <w:spacing w:before="7" w:after="1"/>
        <w:ind w:left="289" w:right="284"/>
        <w:jc w:val="both"/>
        <w:rPr>
          <w:rFonts w:ascii="Meiryo UI" w:eastAsia="Meiryo UI" w:hAnsi="Meiryo UI"/>
          <w:bCs/>
          <w:szCs w:val="21"/>
        </w:rPr>
      </w:pPr>
      <w:r w:rsidRPr="00CC1AD7">
        <w:rPr>
          <w:rFonts w:ascii="Meiryo UI" w:eastAsia="Meiryo UI" w:hAnsi="Meiryo UI" w:hint="eastAsia"/>
          <w:bCs/>
          <w:szCs w:val="21"/>
        </w:rPr>
        <w:t>2015年、三池港はユネスコ世界遺産に登</w:t>
      </w:r>
      <w:r w:rsidRPr="00CC1AD7">
        <w:rPr>
          <w:rFonts w:ascii="Meiryo UI" w:eastAsia="Meiryo UI" w:hAnsi="Meiryo UI" w:cs="ＭＳ 明朝" w:hint="eastAsia"/>
          <w:bCs/>
          <w:szCs w:val="21"/>
        </w:rPr>
        <w:t>録</w:t>
      </w:r>
      <w:r w:rsidRPr="00CC1AD7">
        <w:rPr>
          <w:rFonts w:ascii="Meiryo UI" w:eastAsia="Meiryo UI" w:hAnsi="Meiryo UI" w:cs="Batang" w:hint="eastAsia"/>
          <w:bCs/>
          <w:szCs w:val="21"/>
        </w:rPr>
        <w:t>された。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342"/>
    <w:rsid w:val="001A5971"/>
    <w:rsid w:val="00625A2B"/>
    <w:rsid w:val="00797342"/>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299A306-C9F3-4D90-82BE-33AE6026A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73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973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9734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973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973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973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973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973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973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973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973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9734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973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973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973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973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973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973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973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973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73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973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7342"/>
    <w:pPr>
      <w:spacing w:before="160"/>
      <w:jc w:val="center"/>
    </w:pPr>
    <w:rPr>
      <w:i/>
      <w:iCs/>
      <w:color w:val="404040" w:themeColor="text1" w:themeTint="BF"/>
    </w:rPr>
  </w:style>
  <w:style w:type="character" w:customStyle="1" w:styleId="a8">
    <w:name w:val="引用文 (文字)"/>
    <w:basedOn w:val="a0"/>
    <w:link w:val="a7"/>
    <w:uiPriority w:val="29"/>
    <w:rsid w:val="00797342"/>
    <w:rPr>
      <w:i/>
      <w:iCs/>
      <w:color w:val="404040" w:themeColor="text1" w:themeTint="BF"/>
    </w:rPr>
  </w:style>
  <w:style w:type="paragraph" w:styleId="a9">
    <w:name w:val="List Paragraph"/>
    <w:basedOn w:val="a"/>
    <w:uiPriority w:val="34"/>
    <w:qFormat/>
    <w:rsid w:val="00797342"/>
    <w:pPr>
      <w:ind w:left="720"/>
      <w:contextualSpacing/>
    </w:pPr>
  </w:style>
  <w:style w:type="character" w:styleId="21">
    <w:name w:val="Intense Emphasis"/>
    <w:basedOn w:val="a0"/>
    <w:uiPriority w:val="21"/>
    <w:qFormat/>
    <w:rsid w:val="00797342"/>
    <w:rPr>
      <w:i/>
      <w:iCs/>
      <w:color w:val="0F4761" w:themeColor="accent1" w:themeShade="BF"/>
    </w:rPr>
  </w:style>
  <w:style w:type="paragraph" w:styleId="22">
    <w:name w:val="Intense Quote"/>
    <w:basedOn w:val="a"/>
    <w:next w:val="a"/>
    <w:link w:val="23"/>
    <w:uiPriority w:val="30"/>
    <w:qFormat/>
    <w:rsid w:val="00797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97342"/>
    <w:rPr>
      <w:i/>
      <w:iCs/>
      <w:color w:val="0F4761" w:themeColor="accent1" w:themeShade="BF"/>
    </w:rPr>
  </w:style>
  <w:style w:type="character" w:styleId="24">
    <w:name w:val="Intense Reference"/>
    <w:basedOn w:val="a0"/>
    <w:uiPriority w:val="32"/>
    <w:qFormat/>
    <w:rsid w:val="00797342"/>
    <w:rPr>
      <w:b/>
      <w:bCs/>
      <w:smallCaps/>
      <w:color w:val="0F4761" w:themeColor="accent1" w:themeShade="BF"/>
      <w:spacing w:val="5"/>
    </w:rPr>
  </w:style>
  <w:style w:type="paragraph" w:styleId="aa">
    <w:name w:val="Body Text"/>
    <w:basedOn w:val="a"/>
    <w:link w:val="ab"/>
    <w:uiPriority w:val="1"/>
    <w:qFormat/>
    <w:rsid w:val="00797342"/>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797342"/>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2025-08-29T20:36:00Z</dcterms:created>
  <dcterms:modified xsi:type="dcterms:W3CDTF">2025-08-29T20:36:00Z</dcterms:modified>
</cp:coreProperties>
</file>