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A5D" w:rsidRPr="00891BE5" w:rsidRDefault="007B4A5D" w:rsidP="00961906">
      <w:pPr>
        <w:pStyle w:val="aa"/>
        <w:spacing w:before="50" w:line="480" w:lineRule="auto"/>
        <w:ind w:left="289"/>
        <w:rPr>
          <w:rFonts w:eastAsia="Meiryo UI"/>
          <w:b/>
          <w:bCs/>
          <w:color w:val="000000" w:themeColor="text1"/>
          <w:spacing w:val="-1"/>
          <w:lang w:eastAsia="ja-JP"/>
        </w:rPr>
      </w:pPr>
      <w:r w:rsidRPr="00961906">
        <w:rPr>
          <w:rFonts w:eastAsia="Meiryo UI"/>
          <w:b/>
          <w:bCs/>
          <w:color w:val="000000" w:themeColor="text1"/>
          <w:spacing w:val="-1"/>
          <w:lang w:eastAsia="ja-JP"/>
        </w:rPr>
        <w:t>Uncovering the History of Akita Fort</w:t>
      </w:r>
    </w:p>
    <w:p/>
    <w:p w:rsidR="007B4A5D" w:rsidRPr="00A550B1" w:rsidRDefault="007B4A5D" w:rsidP="00961906">
      <w:pPr>
        <w:spacing w:before="165" w:line="319" w:lineRule="auto"/>
        <w:ind w:left="289" w:right="284"/>
        <w:rPr>
          <w:rFonts w:eastAsia="ＭＳ 明朝"/>
          <w:sz w:val="24"/>
        </w:rPr>
      </w:pPr>
      <w:r w:rsidRPr="00A550B1">
        <w:rPr>
          <w:rFonts w:eastAsia="ＭＳ 明朝"/>
          <w:sz w:val="24"/>
        </w:rPr>
        <w:t>The Akita City History Museum of Akita Fort Ruins exhibits artifacts uncovered at the site of Akita Fort. The fort was a center of both regional and international exchange from the 700s to the mid-900s.</w:t>
      </w:r>
    </w:p>
    <w:p w:rsidR="007B4A5D" w:rsidRPr="00A550B1" w:rsidRDefault="007B4A5D" w:rsidP="00961906">
      <w:pPr>
        <w:spacing w:before="165" w:line="319" w:lineRule="auto"/>
        <w:ind w:left="289" w:right="284"/>
        <w:rPr>
          <w:rFonts w:eastAsia="ＭＳ 明朝"/>
          <w:sz w:val="24"/>
        </w:rPr>
      </w:pPr>
    </w:p>
    <w:p w:rsidR="007B4A5D" w:rsidRPr="00A550B1" w:rsidRDefault="007B4A5D" w:rsidP="00961906">
      <w:pPr>
        <w:spacing w:before="165" w:line="319" w:lineRule="auto"/>
        <w:ind w:left="289" w:right="284"/>
        <w:rPr>
          <w:rFonts w:eastAsia="ＭＳ 明朝"/>
          <w:sz w:val="24"/>
        </w:rPr>
      </w:pPr>
      <w:r w:rsidRPr="00A550B1">
        <w:rPr>
          <w:rFonts w:eastAsia="ＭＳ 明朝"/>
          <w:sz w:val="24"/>
        </w:rPr>
        <w:t xml:space="preserve">Some of the objects on display include wooden tablets inscribed with official records, ink-inscribed ceramics, and </w:t>
      </w:r>
      <w:r w:rsidRPr="00A550B1">
        <w:rPr>
          <w:sz w:val="24"/>
        </w:rPr>
        <w:t>implements used by record keepers</w:t>
      </w:r>
      <w:r w:rsidRPr="00A550B1">
        <w:rPr>
          <w:rFonts w:eastAsia="ＭＳ 明朝"/>
          <w:sz w:val="24"/>
        </w:rPr>
        <w:t xml:space="preserve">, as well as weapons and armor. A portion of the fort’s earthen walls have been reconstructed outside the museum. Tablets equipped with an AR app that shows how the entire site may have looked in the past can be borrowed </w:t>
      </w:r>
      <w:r w:rsidRPr="00A550B1">
        <w:rPr>
          <w:sz w:val="24"/>
        </w:rPr>
        <w:t>free of charge</w:t>
      </w:r>
      <w:r w:rsidRPr="00A550B1">
        <w:rPr>
          <w:rFonts w:eastAsia="ＭＳ 明朝"/>
          <w:sz w:val="24"/>
        </w:rPr>
        <w:t xml:space="preserve"> at the reception desk.</w:t>
      </w:r>
    </w:p>
    <w:p w:rsidR="007B4A5D" w:rsidRPr="00A550B1" w:rsidRDefault="007B4A5D" w:rsidP="00961906">
      <w:pPr>
        <w:spacing w:before="165" w:line="319" w:lineRule="auto"/>
        <w:ind w:left="289" w:right="284"/>
        <w:rPr>
          <w:rFonts w:eastAsia="ＭＳ 明朝"/>
          <w:sz w:val="24"/>
        </w:rPr>
      </w:pPr>
    </w:p>
    <w:p w:rsidR="007B4A5D" w:rsidRPr="00961906" w:rsidRDefault="007B4A5D" w:rsidP="00961906">
      <w:pPr>
        <w:spacing w:before="165" w:line="319" w:lineRule="auto"/>
        <w:ind w:left="289" w:right="284"/>
        <w:rPr>
          <w:rFonts w:eastAsia="Meiryo UI"/>
          <w:bCs/>
          <w:sz w:val="24"/>
        </w:rPr>
      </w:pPr>
      <w:r w:rsidRPr="00A550B1">
        <w:rPr>
          <w:rFonts w:eastAsia="ＭＳ 明朝"/>
          <w:sz w:val="24"/>
        </w:rPr>
        <w:t>Akita Fort fell into disuse around the mid-900s and its history and location were eventually forgotten. Renewed interest in the ancient fort began in the early 1800s, but the first large-scale excavations started in 1959. The area is still an active archaeological site, and each dig is sure to reveal new insights into life at Akita Fort.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5D"/>
    <w:rsid w:val="001A5971"/>
    <w:rsid w:val="00625A2B"/>
    <w:rsid w:val="007B4A5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0323852-EBA5-42CA-BD9E-007F2872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B4A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4A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4A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B4A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4A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4A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4A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4A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4A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B4A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4A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4A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4A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4A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4A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4A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4A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4A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4A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4A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A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4A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A5D"/>
    <w:pPr>
      <w:spacing w:before="160"/>
      <w:jc w:val="center"/>
    </w:pPr>
    <w:rPr>
      <w:i/>
      <w:iCs/>
      <w:color w:val="404040" w:themeColor="text1" w:themeTint="BF"/>
    </w:rPr>
  </w:style>
  <w:style w:type="character" w:customStyle="1" w:styleId="a8">
    <w:name w:val="引用文 (文字)"/>
    <w:basedOn w:val="a0"/>
    <w:link w:val="a7"/>
    <w:uiPriority w:val="29"/>
    <w:rsid w:val="007B4A5D"/>
    <w:rPr>
      <w:i/>
      <w:iCs/>
      <w:color w:val="404040" w:themeColor="text1" w:themeTint="BF"/>
    </w:rPr>
  </w:style>
  <w:style w:type="paragraph" w:styleId="a9">
    <w:name w:val="List Paragraph"/>
    <w:basedOn w:val="a"/>
    <w:uiPriority w:val="34"/>
    <w:qFormat/>
    <w:rsid w:val="007B4A5D"/>
    <w:pPr>
      <w:ind w:left="720"/>
      <w:contextualSpacing/>
    </w:pPr>
  </w:style>
  <w:style w:type="character" w:styleId="21">
    <w:name w:val="Intense Emphasis"/>
    <w:basedOn w:val="a0"/>
    <w:uiPriority w:val="21"/>
    <w:qFormat/>
    <w:rsid w:val="007B4A5D"/>
    <w:rPr>
      <w:i/>
      <w:iCs/>
      <w:color w:val="0F4761" w:themeColor="accent1" w:themeShade="BF"/>
    </w:rPr>
  </w:style>
  <w:style w:type="paragraph" w:styleId="22">
    <w:name w:val="Intense Quote"/>
    <w:basedOn w:val="a"/>
    <w:next w:val="a"/>
    <w:link w:val="23"/>
    <w:uiPriority w:val="30"/>
    <w:qFormat/>
    <w:rsid w:val="007B4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4A5D"/>
    <w:rPr>
      <w:i/>
      <w:iCs/>
      <w:color w:val="0F4761" w:themeColor="accent1" w:themeShade="BF"/>
    </w:rPr>
  </w:style>
  <w:style w:type="character" w:styleId="24">
    <w:name w:val="Intense Reference"/>
    <w:basedOn w:val="a0"/>
    <w:uiPriority w:val="32"/>
    <w:qFormat/>
    <w:rsid w:val="007B4A5D"/>
    <w:rPr>
      <w:b/>
      <w:bCs/>
      <w:smallCaps/>
      <w:color w:val="0F4761" w:themeColor="accent1" w:themeShade="BF"/>
      <w:spacing w:val="5"/>
    </w:rPr>
  </w:style>
  <w:style w:type="paragraph" w:styleId="aa">
    <w:name w:val="Body Text"/>
    <w:basedOn w:val="a"/>
    <w:link w:val="ab"/>
    <w:uiPriority w:val="1"/>
    <w:qFormat/>
    <w:rsid w:val="007B4A5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B4A5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