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179F" w:rsidRPr="002A335B" w:rsidRDefault="0013179F" w:rsidP="002A335B">
      <w:pPr>
        <w:pStyle w:val="aa"/>
        <w:spacing w:before="50" w:line="480" w:lineRule="auto"/>
        <w:ind w:left="289"/>
        <w:rPr>
          <w:rFonts w:eastAsia="Meiryo UI"/>
          <w:b/>
          <w:bCs/>
          <w:color w:val="000000" w:themeColor="text1"/>
          <w:spacing w:val="-1"/>
          <w:lang w:eastAsia="ja-JP"/>
        </w:rPr>
      </w:pPr>
      <w:r w:rsidRPr="002A335B">
        <w:rPr>
          <w:rFonts w:eastAsia="Meiryo UI"/>
          <w:b/>
          <w:bCs/>
          <w:color w:val="000000" w:themeColor="text1"/>
          <w:spacing w:val="-1"/>
          <w:lang w:eastAsia="ja-JP"/>
        </w:rPr>
        <w:t>National treasure</w:t>
      </w:r>
    </w:p>
    <w:p/>
    <w:p w:rsidR="0013179F" w:rsidRPr="00891BE5" w:rsidRDefault="0013179F" w:rsidP="004002B8">
      <w:pPr>
        <w:pStyle w:val="aa"/>
        <w:spacing w:before="50" w:line="480" w:lineRule="auto"/>
        <w:ind w:left="289"/>
        <w:rPr>
          <w:rFonts w:eastAsia="Meiryo UI"/>
          <w:b/>
          <w:bCs/>
          <w:color w:val="000000" w:themeColor="text1"/>
          <w:spacing w:val="-1"/>
          <w:lang w:eastAsia="ja-JP"/>
        </w:rPr>
      </w:pPr>
      <w:r w:rsidRPr="00E26402">
        <w:rPr>
          <w:rFonts w:eastAsia="Meiryo UI"/>
          <w:b/>
          <w:bCs/>
          <w:i/>
          <w:iCs/>
          <w:color w:val="000000" w:themeColor="text1"/>
          <w:spacing w:val="-1"/>
          <w:lang w:eastAsia="ja-JP"/>
        </w:rPr>
        <w:t xml:space="preserve">Tachi </w:t>
      </w:r>
      <w:r w:rsidRPr="00E26402">
        <w:rPr>
          <w:rFonts w:eastAsia="Meiryo UI"/>
          <w:b/>
          <w:bCs/>
          <w:color w:val="000000" w:themeColor="text1"/>
          <w:spacing w:val="-1"/>
          <w:lang w:eastAsia="ja-JP"/>
        </w:rPr>
        <w:t xml:space="preserve">Sword with </w:t>
      </w:r>
      <w:r w:rsidRPr="00E26402">
        <w:rPr>
          <w:rFonts w:eastAsia="Meiryo UI"/>
          <w:b/>
          <w:bCs/>
          <w:i/>
          <w:iCs/>
          <w:color w:val="000000" w:themeColor="text1"/>
          <w:spacing w:val="-1"/>
          <w:lang w:eastAsia="ja-JP"/>
        </w:rPr>
        <w:t>Kenukigata</w:t>
      </w:r>
      <w:r w:rsidRPr="00E26402">
        <w:rPr>
          <w:rFonts w:eastAsia="Meiryo UI"/>
          <w:b/>
          <w:bCs/>
          <w:color w:val="000000" w:themeColor="text1"/>
          <w:spacing w:val="-1"/>
          <w:lang w:eastAsia="ja-JP"/>
        </w:rPr>
        <w:t>-Style Mounting</w:t>
      </w:r>
    </w:p>
    <w:p w:rsidR="0013179F" w:rsidRPr="00317898" w:rsidRDefault="0013179F" w:rsidP="00E26402">
      <w:pPr>
        <w:spacing w:before="165" w:line="319" w:lineRule="auto"/>
        <w:ind w:left="289" w:right="284"/>
        <w:rPr>
          <w:rFonts w:eastAsia="Meiryo UI"/>
          <w:sz w:val="24"/>
        </w:rPr>
      </w:pPr>
      <w:r w:rsidRPr="00317898">
        <w:rPr>
          <w:rFonts w:eastAsia="Meiryo UI"/>
          <w:sz w:val="24"/>
        </w:rPr>
        <w:t xml:space="preserve">This ornate </w:t>
      </w:r>
      <w:r w:rsidRPr="00317898">
        <w:rPr>
          <w:rFonts w:eastAsia="Meiryo UI"/>
          <w:i/>
          <w:iCs/>
          <w:sz w:val="24"/>
        </w:rPr>
        <w:t>tachi</w:t>
      </w:r>
      <w:r w:rsidRPr="00317898">
        <w:rPr>
          <w:rFonts w:eastAsia="Meiryo UI"/>
          <w:sz w:val="24"/>
        </w:rPr>
        <w:t xml:space="preserve"> sword is a superb example of twelfth-century artisanship. Although its rusted blade can no longer be unsheathed, the sword’s significance lies chiefly in its exquisite fittings and superb example of mother-of-pearl inlay. The ornamental borders on the hilt, handguard, and several other decorative elements are pure gold, and the sword is much heavier than it looks.</w:t>
      </w:r>
    </w:p>
    <w:p w:rsidR="0013179F" w:rsidRPr="00317898" w:rsidRDefault="0013179F" w:rsidP="00E26402">
      <w:pPr>
        <w:spacing w:before="165" w:line="319" w:lineRule="auto"/>
        <w:ind w:left="289" w:right="284"/>
        <w:rPr>
          <w:rFonts w:eastAsia="Meiryo UI"/>
          <w:sz w:val="24"/>
        </w:rPr>
      </w:pPr>
    </w:p>
    <w:p w:rsidR="0013179F" w:rsidRPr="00317898" w:rsidRDefault="0013179F" w:rsidP="00E26402">
      <w:pPr>
        <w:spacing w:before="165" w:line="319" w:lineRule="auto"/>
        <w:ind w:left="289" w:right="284"/>
        <w:rPr>
          <w:rFonts w:eastAsia="Meiryo UI"/>
          <w:sz w:val="24"/>
        </w:rPr>
      </w:pPr>
      <w:r w:rsidRPr="00317898">
        <w:rPr>
          <w:rFonts w:eastAsia="Meiryo UI"/>
          <w:sz w:val="24"/>
        </w:rPr>
        <w:t>The sword was modeled after the ceremonial weapons carried by imperial palace guards. This is especially apparent in the hilt, constructed in the “hair tweezer” (</w:t>
      </w:r>
      <w:r w:rsidRPr="00317898">
        <w:rPr>
          <w:rFonts w:eastAsia="Meiryo UI"/>
          <w:i/>
          <w:sz w:val="24"/>
        </w:rPr>
        <w:t>kenukigata</w:t>
      </w:r>
      <w:r w:rsidRPr="00317898">
        <w:rPr>
          <w:rFonts w:eastAsia="Meiryo UI"/>
          <w:sz w:val="24"/>
        </w:rPr>
        <w:t>) style, characterized by an opening at its center. There are very few such swords from the twelfth century that survive today, and the purpose of the distinctive design is not definitively known.</w:t>
      </w:r>
    </w:p>
    <w:p w:rsidR="0013179F" w:rsidRPr="00317898" w:rsidRDefault="0013179F" w:rsidP="00E26402">
      <w:pPr>
        <w:spacing w:before="165" w:line="319" w:lineRule="auto"/>
        <w:ind w:left="289" w:right="284"/>
        <w:rPr>
          <w:rFonts w:eastAsia="Meiryo UI"/>
          <w:sz w:val="24"/>
        </w:rPr>
      </w:pPr>
    </w:p>
    <w:p w:rsidR="0013179F" w:rsidRPr="00317898" w:rsidRDefault="0013179F" w:rsidP="00E26402">
      <w:pPr>
        <w:spacing w:before="165" w:line="319" w:lineRule="auto"/>
        <w:ind w:left="289" w:right="284"/>
        <w:rPr>
          <w:rFonts w:eastAsia="Meiryo UI"/>
          <w:sz w:val="24"/>
        </w:rPr>
      </w:pPr>
      <w:r w:rsidRPr="00317898">
        <w:rPr>
          <w:rFonts w:eastAsia="Meiryo UI"/>
          <w:sz w:val="24"/>
        </w:rPr>
        <w:t>Each side of the scabbard is adorned from tip to throat with a continuous scene of a cat stalking a sparrow, catching it, and walking away proudly. This scene is rendered in mother-of-pearl inlaid on a background of black lacquer sprinkled thickly with powdered gold. The mother-of-pearl is accented with blue glass, which was an expensive imported material at the time the sword was made. The minute, hand-carved details of the bamboo and the expressiveness of the cat are evidence of the artisan’s expert skill.</w:t>
      </w:r>
    </w:p>
    <w:p w:rsidR="0013179F" w:rsidRPr="00317898" w:rsidRDefault="0013179F" w:rsidP="00E26402">
      <w:pPr>
        <w:spacing w:before="165" w:line="319" w:lineRule="auto"/>
        <w:ind w:left="289" w:right="284"/>
        <w:rPr>
          <w:rFonts w:eastAsia="Meiryo UI"/>
          <w:sz w:val="24"/>
        </w:rPr>
      </w:pPr>
    </w:p>
    <w:p w:rsidR="0013179F" w:rsidRPr="00317898" w:rsidRDefault="0013179F" w:rsidP="00E26402">
      <w:pPr>
        <w:spacing w:before="165" w:line="319" w:lineRule="auto"/>
        <w:ind w:left="289" w:right="284"/>
        <w:rPr>
          <w:rFonts w:eastAsia="Meiryo UI"/>
          <w:sz w:val="24"/>
        </w:rPr>
      </w:pPr>
      <w:r w:rsidRPr="00317898">
        <w:rPr>
          <w:rFonts w:eastAsia="Meiryo UI"/>
          <w:sz w:val="24"/>
        </w:rPr>
        <w:t xml:space="preserve">In addition to its artistic value, this carefully crafted scene presents a significant </w:t>
      </w:r>
      <w:r>
        <w:rPr>
          <w:noProof/>
        </w:rPr>
        <mc:AlternateContent>
          <mc:Choice Requires="wps">
            <w:drawing>
              <wp:anchor distT="0" distB="0" distL="114300" distR="114300" simplePos="0" relativeHeight="251659264" behindDoc="1" locked="0" layoutInCell="1" allowOverlap="1" wp14:anchorId="141CADEE" wp14:editId="2B493D62">
                <wp:simplePos x="0" y="0"/>
                <wp:positionH relativeFrom="page">
                  <wp:posOffset>1028700</wp:posOffset>
                </wp:positionH>
                <wp:positionV relativeFrom="paragraph">
                  <wp:posOffset>-22226</wp:posOffset>
                </wp:positionV>
                <wp:extent cx="5613400" cy="962025"/>
                <wp:effectExtent l="0" t="0" r="25400" b="28575"/>
                <wp:wrapNone/>
                <wp:docPr id="791054275"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962025"/>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740D8" id="docshape8" o:spid="_x0000_s1026" style="position:absolute;margin-left:81pt;margin-top:-1.75pt;width:442pt;height:75.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" filled="f" strokecolor="#231f20" strokeweight=".28pt">
                <v:path arrowok="t"/>
                <w10:wrap anchorx="page"/>
              </v:rect>
            </w:pict>
          </mc:Fallback>
        </mc:AlternateContent>
      </w:r>
      <w:r w:rsidRPr="00317898">
        <w:rPr>
          <w:rFonts w:eastAsia="Meiryo UI"/>
          <w:sz w:val="24"/>
        </w:rPr>
        <w:t>historical detail: The cat is depicted wearing a collar, indicating that cats were kept as pets during the Heian period (794–1185). Cats were rarely subjects of art at the time, so it is possible the sword’s motif carries a secondary meaning, such as a visual allusion to a contemporary figure.</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9F"/>
    <w:rsid w:val="0013179F"/>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268A060-459C-43F7-A634-32CBB6B8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1317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317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3179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317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317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317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317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317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317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1317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17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179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317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17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17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17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17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17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317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317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17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317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179F"/>
    <w:pPr>
      <w:spacing w:before="160"/>
      <w:jc w:val="center"/>
    </w:pPr>
    <w:rPr>
      <w:i/>
      <w:iCs/>
      <w:color w:val="404040" w:themeColor="text1" w:themeTint="BF"/>
    </w:rPr>
  </w:style>
  <w:style w:type="character" w:customStyle="1" w:styleId="a8">
    <w:name w:val="引用文 (文字)"/>
    <w:basedOn w:val="a0"/>
    <w:link w:val="a7"/>
    <w:uiPriority w:val="29"/>
    <w:rsid w:val="0013179F"/>
    <w:rPr>
      <w:i/>
      <w:iCs/>
      <w:color w:val="404040" w:themeColor="text1" w:themeTint="BF"/>
    </w:rPr>
  </w:style>
  <w:style w:type="paragraph" w:styleId="a9">
    <w:name w:val="List Paragraph"/>
    <w:basedOn w:val="a"/>
    <w:uiPriority w:val="34"/>
    <w:qFormat/>
    <w:rsid w:val="0013179F"/>
    <w:pPr>
      <w:ind w:left="720"/>
      <w:contextualSpacing/>
    </w:pPr>
  </w:style>
  <w:style w:type="character" w:styleId="21">
    <w:name w:val="Intense Emphasis"/>
    <w:basedOn w:val="a0"/>
    <w:uiPriority w:val="21"/>
    <w:qFormat/>
    <w:rsid w:val="0013179F"/>
    <w:rPr>
      <w:i/>
      <w:iCs/>
      <w:color w:val="0F4761" w:themeColor="accent1" w:themeShade="BF"/>
    </w:rPr>
  </w:style>
  <w:style w:type="paragraph" w:styleId="22">
    <w:name w:val="Intense Quote"/>
    <w:basedOn w:val="a"/>
    <w:next w:val="a"/>
    <w:link w:val="23"/>
    <w:uiPriority w:val="30"/>
    <w:qFormat/>
    <w:rsid w:val="00131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3179F"/>
    <w:rPr>
      <w:i/>
      <w:iCs/>
      <w:color w:val="0F4761" w:themeColor="accent1" w:themeShade="BF"/>
    </w:rPr>
  </w:style>
  <w:style w:type="character" w:styleId="24">
    <w:name w:val="Intense Reference"/>
    <w:basedOn w:val="a0"/>
    <w:uiPriority w:val="32"/>
    <w:qFormat/>
    <w:rsid w:val="0013179F"/>
    <w:rPr>
      <w:b/>
      <w:bCs/>
      <w:smallCaps/>
      <w:color w:val="0F4761" w:themeColor="accent1" w:themeShade="BF"/>
      <w:spacing w:val="5"/>
    </w:rPr>
  </w:style>
  <w:style w:type="paragraph" w:styleId="aa">
    <w:name w:val="Body Text"/>
    <w:basedOn w:val="a"/>
    <w:link w:val="ab"/>
    <w:uiPriority w:val="1"/>
    <w:qFormat/>
    <w:rsid w:val="0013179F"/>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13179F"/>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1468</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2025-08-29T20:37:00Z</dcterms:created>
  <dcterms:modified xsi:type="dcterms:W3CDTF">2025-08-29T20:37:00Z</dcterms:modified>
</cp:coreProperties>
</file>