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92D" w:rsidRPr="00891BE5" w:rsidRDefault="0014392D" w:rsidP="00891BE5">
      <w:pPr>
        <w:pStyle w:val="aa"/>
        <w:spacing w:before="50" w:line="480" w:lineRule="auto"/>
        <w:ind w:left="289"/>
        <w:rPr>
          <w:rFonts w:eastAsia="Meiryo UI"/>
          <w:b/>
          <w:bCs/>
          <w:color w:val="000000" w:themeColor="text1"/>
          <w:spacing w:val="-1"/>
          <w:lang w:eastAsia="ja-JP"/>
        </w:rPr>
      </w:pPr>
      <w:bookmarkStart w:id="0" w:name="_Hlk132109452"/>
      <w:r w:rsidRPr="00C12EFA">
        <w:rPr>
          <w:rFonts w:eastAsia="Meiryo UI"/>
          <w:b/>
          <w:bCs/>
          <w:color w:val="000000" w:themeColor="text1"/>
          <w:spacing w:val="-1"/>
          <w:lang w:eastAsia="ja-JP"/>
        </w:rPr>
        <w:t>Meiji Village Education Museum</w:t>
      </w:r>
    </w:p>
    <w:bookmarkEnd w:id="0"/>
    <w:p/>
    <w:p w:rsidR="0014392D" w:rsidRPr="00F42C78" w:rsidRDefault="0014392D" w:rsidP="00C12EFA">
      <w:pPr>
        <w:spacing w:before="165" w:line="319" w:lineRule="auto"/>
        <w:ind w:left="289" w:right="284"/>
        <w:rPr>
          <w:sz w:val="24"/>
        </w:rPr>
      </w:pPr>
      <w:r w:rsidRPr="00F42C78">
        <w:rPr>
          <w:sz w:val="24"/>
        </w:rPr>
        <w:t>Th</w:t>
      </w:r>
      <w:r w:rsidRPr="00F42C78">
        <w:rPr>
          <w:rFonts w:hint="eastAsia"/>
          <w:sz w:val="24"/>
        </w:rPr>
        <w:t>e</w:t>
      </w:r>
      <w:r w:rsidRPr="00F42C78">
        <w:rPr>
          <w:sz w:val="24"/>
        </w:rPr>
        <w:t xml:space="preserve"> To</w:t>
      </w:r>
      <w:r w:rsidRPr="00F42C78">
        <w:rPr>
          <w:rFonts w:hint="eastAsia"/>
          <w:sz w:val="24"/>
        </w:rPr>
        <w:t>yoma</w:t>
      </w:r>
      <w:r w:rsidRPr="00F42C78">
        <w:rPr>
          <w:sz w:val="24"/>
        </w:rPr>
        <w:t xml:space="preserve"> Higher Elementary School </w:t>
      </w:r>
      <w:r w:rsidRPr="00F42C78">
        <w:rPr>
          <w:rFonts w:hint="eastAsia"/>
          <w:sz w:val="24"/>
        </w:rPr>
        <w:t xml:space="preserve">was housed in this U-shaped </w:t>
      </w:r>
      <w:r w:rsidRPr="00F42C78">
        <w:rPr>
          <w:sz w:val="24"/>
        </w:rPr>
        <w:t xml:space="preserve">building </w:t>
      </w:r>
      <w:r w:rsidRPr="00F42C78">
        <w:rPr>
          <w:rFonts w:hint="eastAsia"/>
          <w:sz w:val="24"/>
        </w:rPr>
        <w:t>from 1888 to</w:t>
      </w:r>
      <w:r w:rsidRPr="00F42C78">
        <w:rPr>
          <w:sz w:val="24"/>
        </w:rPr>
        <w:t xml:space="preserve"> 1973. </w:t>
      </w:r>
      <w:r w:rsidRPr="00F42C78">
        <w:rPr>
          <w:rFonts w:hint="eastAsia"/>
          <w:sz w:val="24"/>
        </w:rPr>
        <w:t xml:space="preserve">Although the school has </w:t>
      </w:r>
      <w:r w:rsidRPr="00F42C78">
        <w:rPr>
          <w:sz w:val="24"/>
        </w:rPr>
        <w:t>closed</w:t>
      </w:r>
      <w:r w:rsidRPr="00F42C78">
        <w:rPr>
          <w:rFonts w:hint="eastAsia"/>
          <w:sz w:val="24"/>
        </w:rPr>
        <w:t>, the Meiji Village Education Museum has</w:t>
      </w:r>
      <w:r w:rsidRPr="00F42C78">
        <w:rPr>
          <w:sz w:val="24"/>
        </w:rPr>
        <w:t xml:space="preserve"> recreated</w:t>
      </w:r>
      <w:r w:rsidRPr="00F42C78">
        <w:rPr>
          <w:rFonts w:hint="eastAsia"/>
          <w:sz w:val="24"/>
        </w:rPr>
        <w:t xml:space="preserve"> several of</w:t>
      </w:r>
      <w:r w:rsidRPr="00F42C78">
        <w:rPr>
          <w:sz w:val="24"/>
        </w:rPr>
        <w:t xml:space="preserve"> </w:t>
      </w:r>
      <w:r w:rsidRPr="00F42C78">
        <w:rPr>
          <w:rFonts w:hint="eastAsia"/>
          <w:sz w:val="24"/>
        </w:rPr>
        <w:t xml:space="preserve">its </w:t>
      </w:r>
      <w:r w:rsidRPr="00F42C78">
        <w:rPr>
          <w:sz w:val="24"/>
        </w:rPr>
        <w:t xml:space="preserve">classrooms </w:t>
      </w:r>
      <w:r w:rsidRPr="00F42C78">
        <w:rPr>
          <w:rFonts w:hint="eastAsia"/>
          <w:sz w:val="24"/>
        </w:rPr>
        <w:t xml:space="preserve">to </w:t>
      </w:r>
      <w:r w:rsidRPr="00F42C78">
        <w:rPr>
          <w:sz w:val="24"/>
        </w:rPr>
        <w:t xml:space="preserve">illustrate how school life </w:t>
      </w:r>
      <w:r w:rsidRPr="00F42C78">
        <w:rPr>
          <w:rFonts w:hint="eastAsia"/>
          <w:sz w:val="24"/>
        </w:rPr>
        <w:t xml:space="preserve">has </w:t>
      </w:r>
      <w:r w:rsidRPr="00F42C78">
        <w:rPr>
          <w:sz w:val="24"/>
        </w:rPr>
        <w:t>changed along with society, showcasing everything fr</w:t>
      </w:r>
      <w:r w:rsidRPr="00F42C78">
        <w:rPr>
          <w:rFonts w:hint="eastAsia"/>
          <w:sz w:val="24"/>
        </w:rPr>
        <w:t xml:space="preserve">om </w:t>
      </w:r>
      <w:r w:rsidRPr="00F42C78">
        <w:rPr>
          <w:sz w:val="24"/>
        </w:rPr>
        <w:t>the history of school lunch</w:t>
      </w:r>
      <w:r w:rsidRPr="00F42C78">
        <w:rPr>
          <w:rFonts w:hint="eastAsia"/>
          <w:sz w:val="24"/>
        </w:rPr>
        <w:t>es</w:t>
      </w:r>
      <w:r w:rsidRPr="00F42C78">
        <w:rPr>
          <w:sz w:val="24"/>
        </w:rPr>
        <w:t xml:space="preserve"> to </w:t>
      </w:r>
      <w:r w:rsidRPr="00F42C78">
        <w:rPr>
          <w:rFonts w:hint="eastAsia"/>
          <w:sz w:val="24"/>
        </w:rPr>
        <w:t xml:space="preserve">the different </w:t>
      </w:r>
      <w:r w:rsidRPr="00F42C78">
        <w:rPr>
          <w:sz w:val="24"/>
        </w:rPr>
        <w:t>models of sewing machines that were used for teaching vocational skills. Textbook pages and homework displayed along the walls</w:t>
      </w:r>
      <w:r w:rsidRPr="00F42C78">
        <w:rPr>
          <w:rFonts w:hint="eastAsia"/>
          <w:sz w:val="24"/>
        </w:rPr>
        <w:t xml:space="preserve"> </w:t>
      </w:r>
      <w:r w:rsidRPr="00F42C78">
        <w:rPr>
          <w:sz w:val="24"/>
        </w:rPr>
        <w:t>offer a glimpse into how elementary school students in past eras experienced</w:t>
      </w:r>
      <w:r w:rsidRPr="00F42C78">
        <w:rPr>
          <w:rFonts w:hint="eastAsia"/>
          <w:sz w:val="24"/>
        </w:rPr>
        <w:t xml:space="preserve"> World War II and other</w:t>
      </w:r>
      <w:r w:rsidRPr="00F42C78">
        <w:rPr>
          <w:sz w:val="24"/>
        </w:rPr>
        <w:t xml:space="preserve"> historical events.</w:t>
      </w:r>
    </w:p>
    <w:p w:rsidR="0014392D" w:rsidRPr="00F42C78" w:rsidRDefault="0014392D" w:rsidP="00C12EFA">
      <w:pPr>
        <w:spacing w:before="165" w:line="319" w:lineRule="auto"/>
        <w:ind w:left="289" w:right="284"/>
        <w:rPr>
          <w:sz w:val="24"/>
        </w:rPr>
      </w:pPr>
    </w:p>
    <w:p w:rsidR="0014392D" w:rsidRPr="00F42C78" w:rsidRDefault="0014392D" w:rsidP="00C12EFA">
      <w:pPr>
        <w:spacing w:before="165" w:line="319" w:lineRule="auto"/>
        <w:ind w:left="289" w:right="284"/>
        <w:rPr>
          <w:sz w:val="24"/>
        </w:rPr>
      </w:pPr>
      <w:r w:rsidRPr="00F42C78">
        <w:rPr>
          <w:sz w:val="24"/>
        </w:rPr>
        <w:t xml:space="preserve">The building was constructed under the supervision of Yamazoe Kisaburō (1843–1923), an architect from Echigo Province (now Niigata Prefecture). Together with his mentor, the master carpenter Matsuo Ihei, Yamazoe </w:t>
      </w:r>
      <w:r w:rsidRPr="00F42C78">
        <w:rPr>
          <w:rFonts w:hint="eastAsia"/>
          <w:sz w:val="24"/>
        </w:rPr>
        <w:t>went</w:t>
      </w:r>
      <w:r w:rsidRPr="00F42C78">
        <w:rPr>
          <w:sz w:val="24"/>
        </w:rPr>
        <w:t xml:space="preserve"> to Europe to build the Japanese pavilion for the 1873 Vienna World Exposition. He remained in Europe to study Western architecture and went on to construct Western-style buildings in Japan.</w:t>
      </w:r>
    </w:p>
    <w:p w:rsidR="0014392D" w:rsidRPr="00F42C78" w:rsidRDefault="0014392D" w:rsidP="00C12EFA">
      <w:pPr>
        <w:spacing w:before="165" w:line="319" w:lineRule="auto"/>
        <w:ind w:left="289" w:right="284"/>
        <w:rPr>
          <w:rStyle w:val="ac"/>
          <w:sz w:val="24"/>
        </w:rPr>
      </w:pPr>
      <w:r w:rsidRPr="00F42C78">
        <w:rPr>
          <w:sz w:val="24"/>
        </w:rPr>
        <w:t>A strict taskmaster and perfectionist, Yamazoe demanded that each roof tile of this building be weighed, soaked in water, and weighed again to measure how much water it would absorb before declaring it fit for use. His uncompromising attitude caused some problems: There are multiple accounts of aggravated workers removing the ladders and leaving Yamazoe stuck on the school roof to vent their frustration.</w:t>
      </w:r>
    </w:p>
    <w:p w:rsidR="0014392D" w:rsidRPr="00F42C78" w:rsidRDefault="0014392D" w:rsidP="00C12EFA">
      <w:pPr>
        <w:spacing w:before="165" w:line="319" w:lineRule="auto"/>
        <w:ind w:left="289" w:right="284"/>
        <w:rPr>
          <w:sz w:val="24"/>
        </w:rPr>
      </w:pPr>
    </w:p>
    <w:p w:rsidR="0014392D" w:rsidRPr="00C12EFA" w:rsidRDefault="0014392D" w:rsidP="00C12EFA">
      <w:pPr>
        <w:spacing w:before="165" w:line="319" w:lineRule="auto"/>
        <w:ind w:left="289" w:right="284"/>
        <w:rPr>
          <w:sz w:val="24"/>
        </w:rPr>
      </w:pPr>
      <w:r w:rsidRPr="00F42C78">
        <w:rPr>
          <w:rStyle w:val="ac"/>
          <w:sz w:val="24"/>
        </w:rPr>
        <w:t>D</w:t>
      </w:r>
      <w:r w:rsidRPr="00F42C78">
        <w:rPr>
          <w:sz w:val="24"/>
        </w:rPr>
        <w:t xml:space="preserve">espite the conflicts, the building was completed, and </w:t>
      </w:r>
      <w:r w:rsidRPr="00F42C78">
        <w:rPr>
          <w:rFonts w:hint="eastAsia"/>
          <w:sz w:val="24"/>
        </w:rPr>
        <w:t>today it is</w:t>
      </w:r>
      <w:r w:rsidRPr="00F42C78">
        <w:rPr>
          <w:sz w:val="24"/>
        </w:rPr>
        <w:t xml:space="preserve"> a fine example </w:t>
      </w:r>
      <w:r w:rsidRPr="00F42C78">
        <w:rPr>
          <w:rFonts w:hint="eastAsia"/>
          <w:sz w:val="24"/>
        </w:rPr>
        <w:t xml:space="preserve">of blended Western </w:t>
      </w:r>
      <w:r w:rsidRPr="00F42C78">
        <w:rPr>
          <w:sz w:val="24"/>
        </w:rPr>
        <w:t>and</w:t>
      </w:r>
      <w:r w:rsidRPr="00F42C78">
        <w:rPr>
          <w:rFonts w:hint="eastAsia"/>
          <w:sz w:val="24"/>
        </w:rPr>
        <w:t xml:space="preserve"> Japanese design elements, which was characteristic of </w:t>
      </w:r>
      <w:r w:rsidRPr="00F42C78">
        <w:rPr>
          <w:sz w:val="24"/>
        </w:rPr>
        <w:t xml:space="preserve">architecture </w:t>
      </w:r>
      <w:r w:rsidRPr="00F42C78">
        <w:rPr>
          <w:rFonts w:hint="eastAsia"/>
          <w:sz w:val="24"/>
        </w:rPr>
        <w:t>in</w:t>
      </w:r>
      <w:r w:rsidRPr="00F42C78">
        <w:rPr>
          <w:sz w:val="24"/>
        </w:rPr>
        <w:t xml:space="preserve"> the Meiji period (1868–1912).</w:t>
      </w:r>
      <w:r w:rsidRPr="00F42C78">
        <w:rPr>
          <w:rFonts w:hint="eastAsia"/>
          <w:sz w:val="24"/>
        </w:rPr>
        <w:t xml:space="preserve"> </w:t>
      </w:r>
      <w:r w:rsidRPr="00F42C78">
        <w:rPr>
          <w:sz w:val="24"/>
        </w:rPr>
        <w:t>It is now a symbol of Tome’s Miyagi Meiji Village</w:t>
      </w:r>
      <w:r w:rsidRPr="00F42C78">
        <w:rPr>
          <w:rFonts w:hint="eastAsia"/>
          <w:sz w:val="24"/>
        </w:rPr>
        <w:t>, and</w:t>
      </w:r>
      <w:r w:rsidRPr="00F42C78">
        <w:rPr>
          <w:sz w:val="24"/>
        </w:rPr>
        <w:t xml:space="preserve"> </w:t>
      </w:r>
      <w:r w:rsidRPr="00F42C78">
        <w:rPr>
          <w:rFonts w:hint="eastAsia"/>
          <w:sz w:val="24"/>
        </w:rPr>
        <w:t>i</w:t>
      </w:r>
      <w:r w:rsidRPr="00F42C78">
        <w:rPr>
          <w:sz w:val="24"/>
        </w:rPr>
        <w:t>n 1981, it was nationally designated an Important Cultural Property.</w:t>
      </w:r>
      <w:r w:rsidRPr="00F42C78">
        <w:rPr>
          <w:rFonts w:hint="eastAsia"/>
          <w:sz w:val="24"/>
        </w:rPr>
        <w:t xml:space="preserve"> </w:t>
      </w:r>
      <w:r>
        <w:rPr>
          <w:noProof/>
        </w:rPr>
        <mc:AlternateContent>
          <mc:Choice Requires="wps">
            <w:drawing>
              <wp:anchor distT="0" distB="0" distL="114300" distR="114300" simplePos="0" relativeHeight="251659264" behindDoc="1" locked="0" layoutInCell="1" allowOverlap="1" wp14:anchorId="4F45BE85" wp14:editId="41AAD460">
                <wp:simplePos x="0" y="0"/>
                <wp:positionH relativeFrom="page">
                  <wp:posOffset>1032095</wp:posOffset>
                </wp:positionH>
                <wp:positionV relativeFrom="paragraph">
                  <wp:posOffset>-16472</wp:posOffset>
                </wp:positionV>
                <wp:extent cx="5613400" cy="253497"/>
                <wp:effectExtent l="0" t="0" r="12700" b="13335"/>
                <wp:wrapNone/>
                <wp:docPr id="66496055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5349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B63A" id="docshape8" o:spid="_x0000_s1026" style="position:absolute;margin-left:81.25pt;margin-top:-1.3pt;width:442pt;height:1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k0+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" filled="f" strokecolor="#231f20" strokeweight=".28pt">
                <v:path arrowok="t"/>
                <w10:wrap anchorx="page"/>
              </v:rect>
            </w:pict>
          </mc:Fallback>
        </mc:AlternateContent>
      </w:r>
      <w:r w:rsidRPr="00F42C78">
        <w:rPr>
          <w:rFonts w:hint="eastAsia"/>
          <w:sz w:val="24"/>
        </w:rPr>
        <w:t>P</w:t>
      </w:r>
      <w:r w:rsidRPr="00F42C78">
        <w:rPr>
          <w:sz w:val="24"/>
        </w:rPr>
        <w:t>hotography is encouraged throughout the museum and grounds.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2D"/>
    <w:rsid w:val="0014392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0DB0BF-91B9-4258-9334-4A972196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439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39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39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39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39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39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39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39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39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439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39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39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39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39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39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39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39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39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3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3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3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92D"/>
    <w:pPr>
      <w:spacing w:before="160"/>
      <w:jc w:val="center"/>
    </w:pPr>
    <w:rPr>
      <w:i/>
      <w:iCs/>
      <w:color w:val="404040" w:themeColor="text1" w:themeTint="BF"/>
    </w:rPr>
  </w:style>
  <w:style w:type="character" w:customStyle="1" w:styleId="a8">
    <w:name w:val="引用文 (文字)"/>
    <w:basedOn w:val="a0"/>
    <w:link w:val="a7"/>
    <w:uiPriority w:val="29"/>
    <w:rsid w:val="0014392D"/>
    <w:rPr>
      <w:i/>
      <w:iCs/>
      <w:color w:val="404040" w:themeColor="text1" w:themeTint="BF"/>
    </w:rPr>
  </w:style>
  <w:style w:type="paragraph" w:styleId="a9">
    <w:name w:val="List Paragraph"/>
    <w:basedOn w:val="a"/>
    <w:uiPriority w:val="34"/>
    <w:qFormat/>
    <w:rsid w:val="0014392D"/>
    <w:pPr>
      <w:ind w:left="720"/>
      <w:contextualSpacing/>
    </w:pPr>
  </w:style>
  <w:style w:type="character" w:styleId="21">
    <w:name w:val="Intense Emphasis"/>
    <w:basedOn w:val="a0"/>
    <w:uiPriority w:val="21"/>
    <w:qFormat/>
    <w:rsid w:val="0014392D"/>
    <w:rPr>
      <w:i/>
      <w:iCs/>
      <w:color w:val="0F4761" w:themeColor="accent1" w:themeShade="BF"/>
    </w:rPr>
  </w:style>
  <w:style w:type="paragraph" w:styleId="22">
    <w:name w:val="Intense Quote"/>
    <w:basedOn w:val="a"/>
    <w:next w:val="a"/>
    <w:link w:val="23"/>
    <w:uiPriority w:val="30"/>
    <w:qFormat/>
    <w:rsid w:val="0014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392D"/>
    <w:rPr>
      <w:i/>
      <w:iCs/>
      <w:color w:val="0F4761" w:themeColor="accent1" w:themeShade="BF"/>
    </w:rPr>
  </w:style>
  <w:style w:type="character" w:styleId="24">
    <w:name w:val="Intense Reference"/>
    <w:basedOn w:val="a0"/>
    <w:uiPriority w:val="32"/>
    <w:qFormat/>
    <w:rsid w:val="0014392D"/>
    <w:rPr>
      <w:b/>
      <w:bCs/>
      <w:smallCaps/>
      <w:color w:val="0F4761" w:themeColor="accent1" w:themeShade="BF"/>
      <w:spacing w:val="5"/>
    </w:rPr>
  </w:style>
  <w:style w:type="paragraph" w:styleId="aa">
    <w:name w:val="Body Text"/>
    <w:basedOn w:val="a"/>
    <w:link w:val="ab"/>
    <w:uiPriority w:val="1"/>
    <w:qFormat/>
    <w:rsid w:val="0014392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4392D"/>
    <w:rPr>
      <w:rFonts w:ascii="Times New Roman" w:eastAsia="Times New Roman" w:hAnsi="Times New Roman" w:cs="Times New Roman"/>
      <w:kern w:val="0"/>
      <w:sz w:val="24"/>
      <w:lang w:eastAsia="en-US"/>
      <w14:ligatures w14:val="none"/>
    </w:rPr>
  </w:style>
  <w:style w:type="character" w:styleId="ac">
    <w:name w:val="annotation reference"/>
    <w:basedOn w:val="a0"/>
    <w:uiPriority w:val="99"/>
    <w:semiHidden/>
    <w:unhideWhenUsed/>
    <w:rsid w:val="001439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2025-08-29T18:01:00Z</dcterms:modified>
</cp:coreProperties>
</file>