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0CC" w:rsidRPr="00891BE5" w:rsidRDefault="00AB10CC" w:rsidP="00890776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173297"/>
      <w:r w:rsidRPr="00890776">
        <w:rPr>
          <w:rFonts w:eastAsia="Meiryo UI"/>
          <w:b/>
          <w:bCs/>
          <w:color w:val="000000" w:themeColor="text1"/>
          <w:spacing w:val="-1"/>
          <w:lang w:eastAsia="ja-JP"/>
        </w:rPr>
        <w:t>Exploring the Grounds: Part 1</w:t>
      </w:r>
      <w:r>
        <w:rPr>
          <w:rFonts w:eastAsia="Meiryo UI"/>
          <w:b/>
          <w:bCs/>
          <w:color w:val="000000" w:themeColor="text1"/>
          <w:spacing w:val="-1"/>
          <w:lang w:eastAsia="ja-JP"/>
        </w:rPr>
        <w:br/>
      </w:r>
      <w:r w:rsidRPr="00890776">
        <w:rPr>
          <w:rFonts w:eastAsia="Meiryo UI"/>
          <w:b/>
          <w:bCs/>
          <w:color w:val="000000" w:themeColor="text1"/>
          <w:spacing w:val="-1"/>
          <w:lang w:eastAsia="ja-JP"/>
        </w:rPr>
        <w:t>Community Square, Teaching Garden, Hanakage Pond</w:t>
      </w:r>
    </w:p>
    <w:p/>
    <w:p w:rsidR="00AB10CC" w:rsidRPr="001D5A14" w:rsidRDefault="00AB10CC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1D5A14">
        <w:rPr>
          <w:b/>
          <w:bCs/>
          <w:color w:val="000000" w:themeColor="text1"/>
          <w:sz w:val="24"/>
        </w:rPr>
        <w:t>Community Square</w:t>
      </w:r>
    </w:p>
    <w:p w:rsidR="00AB10CC" w:rsidRPr="001D5A14" w:rsidRDefault="00AB10CC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</w:t>
      </w:r>
      <w:r w:rsidRPr="001D5A14">
        <w:rPr>
          <w:color w:val="000000" w:themeColor="text1"/>
          <w:sz w:val="24"/>
        </w:rPr>
        <w:t xml:space="preserve"> tour of the Mizunomori grounds </w:t>
      </w:r>
      <w:r>
        <w:rPr>
          <w:color w:val="000000" w:themeColor="text1"/>
          <w:sz w:val="24"/>
        </w:rPr>
        <w:t xml:space="preserve">usually starts </w:t>
      </w:r>
      <w:r w:rsidRPr="001D5A14">
        <w:rPr>
          <w:color w:val="000000" w:themeColor="text1"/>
          <w:sz w:val="24"/>
        </w:rPr>
        <w:t xml:space="preserve">at the Community Square in front of the Lotus Pavilion. Seasonal flowers adorn the square in pots and hanging baskets. These </w:t>
      </w:r>
      <w:r>
        <w:rPr>
          <w:color w:val="000000" w:themeColor="text1"/>
          <w:sz w:val="24"/>
        </w:rPr>
        <w:t>flowers range</w:t>
      </w:r>
      <w:r w:rsidRPr="001D5A14">
        <w:rPr>
          <w:color w:val="000000" w:themeColor="text1"/>
          <w:sz w:val="24"/>
        </w:rPr>
        <w:t xml:space="preserve"> from </w:t>
      </w:r>
      <w:r>
        <w:rPr>
          <w:color w:val="000000" w:themeColor="text1"/>
          <w:sz w:val="24"/>
        </w:rPr>
        <w:t>d</w:t>
      </w:r>
      <w:r w:rsidRPr="001D5A14">
        <w:rPr>
          <w:color w:val="000000" w:themeColor="text1"/>
          <w:sz w:val="24"/>
        </w:rPr>
        <w:t xml:space="preserve">elphiniums in May to cascade chrysanthemums </w:t>
      </w:r>
      <w:r>
        <w:rPr>
          <w:color w:val="000000" w:themeColor="text1"/>
          <w:sz w:val="24"/>
        </w:rPr>
        <w:t>(</w:t>
      </w:r>
      <w:r w:rsidRPr="001D5A14">
        <w:rPr>
          <w:i/>
          <w:iCs/>
          <w:color w:val="000000" w:themeColor="text1"/>
          <w:sz w:val="24"/>
        </w:rPr>
        <w:t>kengaigiku</w:t>
      </w:r>
      <w:r>
        <w:rPr>
          <w:color w:val="000000" w:themeColor="text1"/>
          <w:sz w:val="24"/>
        </w:rPr>
        <w:t xml:space="preserve">) </w:t>
      </w:r>
      <w:r w:rsidRPr="001D5A14">
        <w:rPr>
          <w:color w:val="000000" w:themeColor="text1"/>
          <w:sz w:val="24"/>
        </w:rPr>
        <w:t xml:space="preserve">in November </w:t>
      </w:r>
      <w:r>
        <w:rPr>
          <w:color w:val="000000" w:themeColor="text1"/>
          <w:sz w:val="24"/>
        </w:rPr>
        <w:t>to</w:t>
      </w:r>
      <w:r w:rsidRPr="001D5A14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“</w:t>
      </w:r>
      <w:r w:rsidRPr="001D5A14">
        <w:rPr>
          <w:color w:val="000000" w:themeColor="text1"/>
          <w:sz w:val="24"/>
        </w:rPr>
        <w:t>ice tulips</w:t>
      </w:r>
      <w:r>
        <w:rPr>
          <w:color w:val="000000" w:themeColor="text1"/>
          <w:sz w:val="24"/>
        </w:rPr>
        <w:t>,” grown from refrigerated bulbs, in December</w:t>
      </w:r>
      <w:r w:rsidRPr="001D5A14">
        <w:rPr>
          <w:color w:val="000000" w:themeColor="text1"/>
          <w:sz w:val="24"/>
        </w:rPr>
        <w:t xml:space="preserve">. During summer, lotus flowers in pots are arranged around the fountain. </w:t>
      </w:r>
      <w:r>
        <w:rPr>
          <w:color w:val="000000" w:themeColor="text1"/>
          <w:sz w:val="24"/>
        </w:rPr>
        <w:t>D</w:t>
      </w:r>
      <w:r w:rsidRPr="001D5A14">
        <w:rPr>
          <w:color w:val="000000" w:themeColor="text1"/>
          <w:sz w:val="24"/>
        </w:rPr>
        <w:t>edicated areas featur</w:t>
      </w:r>
      <w:r>
        <w:rPr>
          <w:color w:val="000000" w:themeColor="text1"/>
          <w:sz w:val="24"/>
        </w:rPr>
        <w:t>e</w:t>
      </w:r>
      <w:r w:rsidRPr="001D5A14">
        <w:rPr>
          <w:color w:val="000000" w:themeColor="text1"/>
          <w:sz w:val="24"/>
        </w:rPr>
        <w:t xml:space="preserve"> pygmy water lilies (</w:t>
      </w:r>
      <w:r w:rsidRPr="001D5A14">
        <w:rPr>
          <w:i/>
          <w:iCs/>
          <w:color w:val="000000" w:themeColor="text1"/>
          <w:sz w:val="24"/>
        </w:rPr>
        <w:t>Nymphaea tetragona</w:t>
      </w:r>
      <w:r w:rsidRPr="001D5A14">
        <w:rPr>
          <w:color w:val="000000" w:themeColor="text1"/>
          <w:sz w:val="24"/>
        </w:rPr>
        <w:t>) and tropical water lilies, placed so you can smell the flowe</w:t>
      </w:r>
      <w:r w:rsidRPr="00B57BB3">
        <w:rPr>
          <w:color w:val="000000" w:themeColor="text1"/>
          <w:sz w:val="24"/>
        </w:rPr>
        <w:t>rs. Summer visitors may get to see a</w:t>
      </w:r>
      <w:r w:rsidRPr="001D5A14">
        <w:rPr>
          <w:color w:val="000000" w:themeColor="text1"/>
          <w:sz w:val="24"/>
        </w:rPr>
        <w:t xml:space="preserve"> Wanvisa water lily, a two-colored flower</w:t>
      </w:r>
      <w:r>
        <w:rPr>
          <w:color w:val="000000" w:themeColor="text1"/>
          <w:sz w:val="24"/>
        </w:rPr>
        <w:t xml:space="preserve">, </w:t>
      </w:r>
      <w:r w:rsidRPr="001D5A14">
        <w:rPr>
          <w:color w:val="000000" w:themeColor="text1"/>
          <w:sz w:val="24"/>
        </w:rPr>
        <w:t>yellow on one side and red on the other.</w:t>
      </w:r>
    </w:p>
    <w:p w:rsidR="00AB10CC" w:rsidRPr="001D5A14" w:rsidRDefault="00AB10CC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AB10CC" w:rsidRPr="001D5A14" w:rsidRDefault="00AB10CC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1D5A14">
        <w:rPr>
          <w:b/>
          <w:bCs/>
          <w:color w:val="000000" w:themeColor="text1"/>
          <w:sz w:val="24"/>
        </w:rPr>
        <w:t>Teaching Garden</w:t>
      </w:r>
    </w:p>
    <w:p w:rsidR="00AB10CC" w:rsidRPr="001D5A14" w:rsidRDefault="00AB10CC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>The Teaching Garden features lotus plants arranged in two artificial raised ponds about 20 meters long and 2 meters wide. The lotuses are planted in March and bloom in July. Among them is the Oga Lotus, a crimson flower that paleobotanist Dr. Ichiro Oga (1883</w:t>
      </w:r>
      <w:r w:rsidRPr="00B57BB3">
        <w:rPr>
          <w:color w:val="000000" w:themeColor="text1"/>
          <w:sz w:val="24"/>
        </w:rPr>
        <w:t>–1</w:t>
      </w:r>
      <w:r w:rsidRPr="001D5A14">
        <w:rPr>
          <w:color w:val="000000" w:themeColor="text1"/>
          <w:sz w:val="24"/>
        </w:rPr>
        <w:t xml:space="preserve">965) created by germinating a 2,000-year-old seed he </w:t>
      </w:r>
      <w:r w:rsidRPr="00B57BB3">
        <w:rPr>
          <w:color w:val="000000" w:themeColor="text1"/>
          <w:sz w:val="24"/>
        </w:rPr>
        <w:t xml:space="preserve">found in 1951 in Chiba, near Tokyo. With </w:t>
      </w:r>
      <w:r w:rsidRPr="001D5A14">
        <w:rPr>
          <w:color w:val="000000" w:themeColor="text1"/>
          <w:sz w:val="24"/>
        </w:rPr>
        <w:t>the lotuses growing to a convenient head height, this garden is particularly popular with photographers</w:t>
      </w:r>
      <w:r>
        <w:rPr>
          <w:color w:val="000000" w:themeColor="text1"/>
          <w:sz w:val="24"/>
        </w:rPr>
        <w:t>,</w:t>
      </w:r>
      <w:r w:rsidRPr="001D5A14">
        <w:rPr>
          <w:color w:val="000000" w:themeColor="text1"/>
          <w:sz w:val="24"/>
        </w:rPr>
        <w:t xml:space="preserve"> who </w:t>
      </w:r>
      <w:r>
        <w:rPr>
          <w:color w:val="000000" w:themeColor="text1"/>
          <w:sz w:val="24"/>
        </w:rPr>
        <w:t>arrive</w:t>
      </w:r>
      <w:r w:rsidRPr="001D5A14">
        <w:rPr>
          <w:color w:val="000000" w:themeColor="text1"/>
          <w:sz w:val="24"/>
        </w:rPr>
        <w:t xml:space="preserve"> early since the flowers start to close in the afternoon.</w:t>
      </w:r>
    </w:p>
    <w:p w:rsidR="00AB10CC" w:rsidRPr="001D5A14" w:rsidRDefault="00AB10CC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AB10CC" w:rsidRPr="001D5A14" w:rsidRDefault="00AB10CC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1D5A14">
        <w:rPr>
          <w:b/>
          <w:bCs/>
          <w:color w:val="000000" w:themeColor="text1"/>
          <w:sz w:val="24"/>
        </w:rPr>
        <w:t>Hanakage Pond</w:t>
      </w:r>
    </w:p>
    <w:p w:rsidR="00AB10CC" w:rsidRPr="001D5A14" w:rsidRDefault="00AB10CC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94B7F7" wp14:editId="1C623CA0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2362200"/>
                <wp:effectExtent l="0" t="0" r="12700" b="12700"/>
                <wp:wrapNone/>
                <wp:docPr id="174654640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362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26A8" id="docshape8" o:spid="_x0000_s1026" style="position:absolute;margin-left:81.35pt;margin-top:-1.65pt;width:442pt;height:1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D5A14">
        <w:rPr>
          <w:color w:val="000000" w:themeColor="text1"/>
          <w:sz w:val="24"/>
        </w:rPr>
        <w:t>This water lily pond is the showpiece exhibit at Mizunomori. Taking inspiration from the Giverny garden of French Impressionist painter Claude Monet (1840–</w:t>
      </w:r>
      <w:r w:rsidRPr="00B57BB3">
        <w:rPr>
          <w:color w:val="000000" w:themeColor="text1"/>
          <w:sz w:val="24"/>
        </w:rPr>
        <w:t xml:space="preserve">1926), Hanakage Pond </w:t>
      </w:r>
      <w:r w:rsidRPr="001D5A14">
        <w:rPr>
          <w:color w:val="000000" w:themeColor="text1"/>
          <w:sz w:val="24"/>
        </w:rPr>
        <w:t xml:space="preserve">combines water lilies and other aquatic plants </w:t>
      </w:r>
      <w:r>
        <w:rPr>
          <w:color w:val="000000" w:themeColor="text1"/>
          <w:sz w:val="24"/>
        </w:rPr>
        <w:t xml:space="preserve">with </w:t>
      </w:r>
      <w:r w:rsidRPr="001D5A14">
        <w:rPr>
          <w:color w:val="000000" w:themeColor="text1"/>
          <w:sz w:val="24"/>
        </w:rPr>
        <w:t xml:space="preserve">picturesque bridges of stone and wood as a backdrop. </w:t>
      </w:r>
      <w:r>
        <w:rPr>
          <w:color w:val="000000" w:themeColor="text1"/>
          <w:sz w:val="24"/>
        </w:rPr>
        <w:t>The pond has</w:t>
      </w:r>
      <w:r w:rsidRPr="001D5A14">
        <w:rPr>
          <w:color w:val="000000" w:themeColor="text1"/>
          <w:sz w:val="24"/>
        </w:rPr>
        <w:t xml:space="preserve"> 50 varieties of both temperate and tropical water lilies, blooming at any given t</w:t>
      </w:r>
      <w:r w:rsidRPr="00426340">
        <w:rPr>
          <w:sz w:val="24"/>
        </w:rPr>
        <w:t>ime between June and September. Most striking of these is the giant South American water lily (</w:t>
      </w:r>
      <w:r w:rsidRPr="00426340">
        <w:rPr>
          <w:i/>
          <w:iCs/>
          <w:sz w:val="24"/>
        </w:rPr>
        <w:t>Victoria cruziana</w:t>
      </w:r>
      <w:r w:rsidRPr="00426340">
        <w:rPr>
          <w:sz w:val="24"/>
        </w:rPr>
        <w:t xml:space="preserve">). Its </w:t>
      </w:r>
      <w:r>
        <w:rPr>
          <w:sz w:val="24"/>
        </w:rPr>
        <w:t xml:space="preserve">lily </w:t>
      </w:r>
      <w:r w:rsidRPr="00426340">
        <w:rPr>
          <w:sz w:val="24"/>
        </w:rPr>
        <w:t>pads, with</w:t>
      </w:r>
      <w:r w:rsidRPr="001D5A14">
        <w:rPr>
          <w:color w:val="000000" w:themeColor="text1"/>
          <w:sz w:val="24"/>
        </w:rPr>
        <w:t xml:space="preserve"> their distinctive upturned rims and thorny undersides, grow up to </w:t>
      </w:r>
      <w:r>
        <w:rPr>
          <w:color w:val="000000" w:themeColor="text1"/>
          <w:sz w:val="24"/>
        </w:rPr>
        <w:t>1.5</w:t>
      </w:r>
      <w:r w:rsidRPr="001D5A14">
        <w:rPr>
          <w:color w:val="000000" w:themeColor="text1"/>
          <w:sz w:val="24"/>
        </w:rPr>
        <w:t xml:space="preserve"> meters wide (i</w:t>
      </w:r>
      <w:r w:rsidRPr="00B57BB3">
        <w:rPr>
          <w:color w:val="000000" w:themeColor="text1"/>
          <w:sz w:val="24"/>
        </w:rPr>
        <w:t xml:space="preserve">n August, </w:t>
      </w:r>
      <w:r>
        <w:rPr>
          <w:color w:val="000000" w:themeColor="text1"/>
          <w:sz w:val="24"/>
        </w:rPr>
        <w:t xml:space="preserve">young children are invited </w:t>
      </w:r>
      <w:r w:rsidRPr="00B57BB3">
        <w:rPr>
          <w:color w:val="000000" w:themeColor="text1"/>
          <w:sz w:val="24"/>
        </w:rPr>
        <w:t>to try sitting</w:t>
      </w:r>
      <w:r w:rsidRPr="001D5A14">
        <w:rPr>
          <w:color w:val="000000" w:themeColor="text1"/>
          <w:sz w:val="24"/>
        </w:rPr>
        <w:t xml:space="preserve"> or standing</w:t>
      </w:r>
      <w:r w:rsidRPr="00B57BB3">
        <w:rPr>
          <w:color w:val="000000" w:themeColor="text1"/>
          <w:sz w:val="24"/>
        </w:rPr>
        <w:t xml:space="preserve"> on the</w:t>
      </w:r>
      <w:r w:rsidRPr="001D5A14">
        <w:rPr>
          <w:color w:val="000000" w:themeColor="text1"/>
          <w:sz w:val="24"/>
        </w:rPr>
        <w:t xml:space="preserve"> pads</w:t>
      </w:r>
      <w:r w:rsidRPr="00B57BB3">
        <w:rPr>
          <w:color w:val="000000" w:themeColor="text1"/>
          <w:sz w:val="24"/>
        </w:rPr>
        <w:t xml:space="preserve">). </w:t>
      </w:r>
      <w:r w:rsidRPr="001D5A14">
        <w:rPr>
          <w:color w:val="000000" w:themeColor="text1"/>
          <w:sz w:val="24"/>
        </w:rPr>
        <w:t>Other plants in the pond include papyrus, which was used by the ancient Egyptians to make paper, and water canna.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CC"/>
    <w:rsid w:val="001A5971"/>
    <w:rsid w:val="00625A2B"/>
    <w:rsid w:val="00AB10C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D0AE5-73BB-4F5E-8D3A-68A6AEE2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B10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0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0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0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0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0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B10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0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0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0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0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0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0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0C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B10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B10C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