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49A" w:rsidRPr="00891BE5" w:rsidRDefault="00B4549A" w:rsidP="006D306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6D3063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Poem 343 from </w:t>
      </w:r>
      <w:r w:rsidRPr="006D3063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Collection of Japanese Poems Ancient and Modern</w:t>
      </w:r>
      <w:r w:rsidRPr="006D3063">
        <w:rPr>
          <w:rFonts w:eastAsia="Meiryo UI"/>
          <w:b/>
          <w:bCs/>
          <w:color w:val="000000" w:themeColor="text1"/>
          <w:spacing w:val="-1"/>
          <w:lang w:eastAsia="ja-JP"/>
        </w:rPr>
        <w:t>, Volume 7: Congratulations</w:t>
      </w:r>
    </w:p>
    <w:tbl>
      <w:tblPr>
        <w:tblStyle w:val="ac"/>
        <w:tblW w:w="8494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4623"/>
      </w:tblGrid>
      <w:tr w:rsidR="00B4549A" w:rsidRPr="006D3063" w:rsidTr="00BD00EA">
        <w:tc>
          <w:tcPr>
            <w:tcW w:w="3871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</w:pPr>
            <w:r w:rsidRPr="006D3063"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  <w:t xml:space="preserve">   waga kimi ha</w:t>
            </w:r>
            <w:r w:rsidRPr="006D3063"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  <w:br/>
              <w:t>chiyo ni mashimase</w:t>
            </w:r>
            <w:r w:rsidRPr="006D3063"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  <w:br/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t xml:space="preserve">   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>sazareishi no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iwaoto narite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koke no musu made</w:t>
            </w:r>
          </w:p>
        </w:tc>
        <w:tc>
          <w:tcPr>
            <w:tcW w:w="4623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sz w:val="24"/>
                <w:szCs w:val="24"/>
                <w14:ligatures w14:val="standardContextual"/>
              </w:rPr>
            </w:pP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t xml:space="preserve">   my lord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 xml:space="preserve">   may you live a thousand years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 xml:space="preserve">   till pebbles grow to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ancient boulders and dark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green moss covers their sides</w:t>
            </w:r>
          </w:p>
        </w:tc>
      </w:tr>
    </w:tbl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i/>
          <w:iCs/>
          <w:sz w:val="24"/>
        </w:rPr>
      </w:pPr>
      <w:r/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i/>
          <w:iCs/>
          <w:sz w:val="24"/>
        </w:rPr>
        <w:t>Author unknown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 w:hint="eastAsia"/>
          <w:bCs/>
          <w:sz w:val="24"/>
        </w:rPr>
        <w:t>T</w:t>
      </w:r>
      <w:r w:rsidRPr="006D3063">
        <w:rPr>
          <w:rFonts w:eastAsia="游ゴシック"/>
          <w:bCs/>
          <w:sz w:val="24"/>
        </w:rPr>
        <w:t>his poem expresses a wish for the emperor’s longevity. The lyrics of the Japanese national anthem are derived from this poem.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 xml:space="preserve">Translation modified from the translation of poem 343 in </w:t>
      </w:r>
      <w:r w:rsidRPr="006D3063">
        <w:rPr>
          <w:rFonts w:eastAsia="游ゴシック"/>
          <w:bCs/>
          <w:i/>
          <w:iCs/>
          <w:sz w:val="24"/>
        </w:rPr>
        <w:t xml:space="preserve">Kokinshū: A Collection of Poems Ancient and Modern </w:t>
      </w:r>
      <w:r w:rsidRPr="006D3063">
        <w:rPr>
          <w:rFonts w:eastAsia="游ゴシック"/>
          <w:bCs/>
          <w:sz w:val="24"/>
        </w:rPr>
        <w:t>by Laurel Rasplica Rodd and Mary Catherine Henkenius in order to match differences in the source Japanese.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/>
          <w:sz w:val="24"/>
        </w:rPr>
      </w:pPr>
      <w:r w:rsidRPr="006D3063">
        <w:rPr>
          <w:rFonts w:eastAsia="游ゴシック"/>
          <w:b/>
          <w:sz w:val="24"/>
        </w:rPr>
        <w:t xml:space="preserve">Three Poems from </w:t>
      </w:r>
      <w:r w:rsidRPr="006D3063">
        <w:rPr>
          <w:rFonts w:eastAsia="游ゴシック"/>
          <w:b/>
          <w:i/>
          <w:iCs/>
          <w:sz w:val="24"/>
        </w:rPr>
        <w:t>Collection of Japanese Poems Ancient and Modern</w:t>
      </w:r>
      <w:r w:rsidRPr="006D3063">
        <w:rPr>
          <w:rFonts w:eastAsia="游ゴシック"/>
          <w:b/>
          <w:sz w:val="24"/>
        </w:rPr>
        <w:t>, Volume 7: Congratulations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tbl>
      <w:tblPr>
        <w:tblStyle w:val="ac"/>
        <w:tblW w:w="8494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4549A" w:rsidRPr="006D3063" w:rsidTr="00BD00EA">
        <w:tc>
          <w:tcPr>
            <w:tcW w:w="4247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</w:pPr>
            <w:r w:rsidRPr="006D3063">
              <w:rPr>
                <w:rFonts w:eastAsia="游ゴシック"/>
                <w:i/>
                <w:sz w:val="24"/>
                <w:szCs w:val="24"/>
                <w14:ligatures w14:val="standardContextual"/>
              </w:rPr>
              <w:t xml:space="preserve">   </w:t>
            </w:r>
            <w:r w:rsidRPr="006D3063"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  <w:t>waga kimi ha</w:t>
            </w:r>
            <w:r w:rsidRPr="006D3063"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  <w:br/>
              <w:t>chiyo ni mashimase</w:t>
            </w:r>
            <w:r w:rsidRPr="006D3063">
              <w:rPr>
                <w:rFonts w:eastAsia="游ゴシック"/>
                <w:i/>
                <w:sz w:val="24"/>
                <w:szCs w:val="24"/>
                <w:lang w:val="fr-FR"/>
                <w14:ligatures w14:val="standardContextual"/>
              </w:rPr>
              <w:br/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t xml:space="preserve">   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>sazareishi no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iwaoto narite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koke no musu made</w:t>
            </w:r>
          </w:p>
        </w:tc>
        <w:tc>
          <w:tcPr>
            <w:tcW w:w="4247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sz w:val="24"/>
                <w:szCs w:val="24"/>
                <w14:ligatures w14:val="standardContextual"/>
              </w:rPr>
            </w:pP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t xml:space="preserve">   my lord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 xml:space="preserve">   may you live a thousand years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 xml:space="preserve">   till pebbles grow to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ancient boulders and dark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green moss covers their sides</w:t>
            </w:r>
          </w:p>
        </w:tc>
      </w:tr>
    </w:tbl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7A669B" wp14:editId="2ABF0C92">
                <wp:simplePos x="0" y="0"/>
                <wp:positionH relativeFrom="page">
                  <wp:posOffset>1032510</wp:posOffset>
                </wp:positionH>
                <wp:positionV relativeFrom="paragraph">
                  <wp:posOffset>-1301750</wp:posOffset>
                </wp:positionV>
                <wp:extent cx="5613400" cy="8915400"/>
                <wp:effectExtent l="0" t="0" r="12700" b="12700"/>
                <wp:wrapNone/>
                <wp:docPr id="12791328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89154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83513" id="docshape8" o:spid="_x0000_s1026" style="position:absolute;margin-left:81.3pt;margin-top:-102.5pt;width:442pt;height:70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 xml:space="preserve">Poem 343, </w:t>
      </w:r>
      <w:r w:rsidRPr="006D3063">
        <w:rPr>
          <w:rFonts w:eastAsia="游ゴシック"/>
          <w:bCs/>
          <w:i/>
          <w:iCs/>
          <w:sz w:val="24"/>
        </w:rPr>
        <w:t>Author unknown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 w:hint="eastAsia"/>
          <w:bCs/>
          <w:sz w:val="24"/>
        </w:rPr>
        <w:t>T</w:t>
      </w:r>
      <w:r w:rsidRPr="006D3063">
        <w:rPr>
          <w:rFonts w:eastAsia="游ゴシック"/>
          <w:bCs/>
          <w:sz w:val="24"/>
        </w:rPr>
        <w:t>his poem expresses a wish for the emperor’s longevity. The lyrics of the Japanese national anthem are derived from this poem.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tbl>
      <w:tblPr>
        <w:tblStyle w:val="ac"/>
        <w:tblW w:w="8494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4549A" w:rsidRPr="006D3063" w:rsidTr="00BD00EA">
        <w:tc>
          <w:tcPr>
            <w:tcW w:w="4247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</w:pP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 xml:space="preserve">   </w:t>
            </w:r>
            <w:r w:rsidRPr="006D3063">
              <w:rPr>
                <w:rFonts w:eastAsia="游ゴシック" w:hint="eastAsia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t>k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t>aku shitsutsu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br/>
              <w:t>to ni mo kaku ni mo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br/>
              <w:t xml:space="preserve">   </w:t>
            </w:r>
            <w:r w:rsidRPr="006D3063">
              <w:rPr>
                <w:rFonts w:eastAsia="游ゴシック" w:hint="eastAsia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t>n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t>agaraete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br/>
              <w:t>kimi ga yachiyoni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:lang w:val="fr-FR"/>
                <w14:ligatures w14:val="standardContextual"/>
              </w:rPr>
              <w:br/>
              <w:t>au yoshi mogana</w:t>
            </w:r>
          </w:p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sz w:val="24"/>
                <w:szCs w:val="24"/>
                <w:lang w:val="fr-FR"/>
                <w14:ligatures w14:val="standardContextual"/>
              </w:rPr>
            </w:pPr>
          </w:p>
        </w:tc>
        <w:tc>
          <w:tcPr>
            <w:tcW w:w="4247" w:type="dxa"/>
          </w:tcPr>
          <w:p w:rsidR="00B4549A" w:rsidRPr="006D3063" w:rsidRDefault="00B4549A" w:rsidP="006D3063">
            <w:pPr>
              <w:spacing w:before="165" w:line="319" w:lineRule="auto"/>
              <w:ind w:left="289" w:right="284" w:firstLine="120"/>
              <w:rPr>
                <w:rFonts w:eastAsia="游ゴシック"/>
                <w:bCs/>
                <w:sz w:val="24"/>
                <w:szCs w:val="24"/>
                <w14:ligatures w14:val="standardContextual"/>
              </w:rPr>
            </w:pPr>
            <w:r w:rsidRPr="006D3063">
              <w:rPr>
                <w:rFonts w:eastAsia="游ゴシック"/>
                <w:bCs/>
                <w:sz w:val="24"/>
                <w:szCs w:val="24"/>
                <w:lang w:val="fr-FR"/>
                <w14:ligatures w14:val="standardContextual"/>
              </w:rPr>
              <w:t xml:space="preserve">   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t>may life go on like this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flowing smoothly with no ripple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to mar it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until we meet   each of us</w:t>
            </w:r>
            <w:r w:rsidRPr="006D3063">
              <w:rPr>
                <w:rFonts w:eastAsia="游ゴシック" w:hint="eastAsia"/>
                <w:bCs/>
                <w:sz w:val="24"/>
                <w:szCs w:val="24"/>
                <w14:ligatures w14:val="standardContextual"/>
              </w:rPr>
              <w:t xml:space="preserve"> 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in our eight</w:t>
            </w:r>
            <w:r w:rsidRPr="006D3063">
              <w:rPr>
                <w:rFonts w:eastAsia="游ゴシック" w:hint="eastAsia"/>
                <w:bCs/>
                <w:sz w:val="24"/>
                <w:szCs w:val="24"/>
                <w14:ligatures w14:val="standardContextual"/>
              </w:rPr>
              <w:t>-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t>thousandth year</w:t>
            </w:r>
          </w:p>
        </w:tc>
      </w:tr>
    </w:tbl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 xml:space="preserve">Poem 347, </w:t>
      </w:r>
      <w:r w:rsidRPr="006D3063">
        <w:rPr>
          <w:rFonts w:eastAsia="游ゴシック"/>
          <w:bCs/>
          <w:i/>
          <w:iCs/>
          <w:sz w:val="24"/>
        </w:rPr>
        <w:t>Emperor Kōkō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 w:hint="eastAsia"/>
          <w:bCs/>
          <w:sz w:val="24"/>
        </w:rPr>
        <w:t>T</w:t>
      </w:r>
      <w:r w:rsidRPr="006D3063">
        <w:rPr>
          <w:rFonts w:eastAsia="游ゴシック"/>
          <w:bCs/>
          <w:sz w:val="24"/>
        </w:rPr>
        <w:t xml:space="preserve">his poem was composed by Emperor Kōkō (830–887) to celebrate the poet Henjō’s (816–890) seventieth birthday. Henjō and Emperor Kōkō are thought to have had a close relationship formed through writing and sharing </w:t>
      </w:r>
      <w:r w:rsidRPr="006D3063">
        <w:rPr>
          <w:rFonts w:eastAsia="游ゴシック"/>
          <w:bCs/>
          <w:i/>
          <w:iCs/>
          <w:sz w:val="24"/>
        </w:rPr>
        <w:t>waka</w:t>
      </w:r>
      <w:r w:rsidRPr="006D3063">
        <w:rPr>
          <w:rFonts w:eastAsia="游ゴシック"/>
          <w:bCs/>
          <w:sz w:val="24"/>
        </w:rPr>
        <w:t>.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tbl>
      <w:tblPr>
        <w:tblStyle w:val="ac"/>
        <w:tblW w:w="8494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4549A" w:rsidRPr="006D3063" w:rsidTr="00BD00EA">
        <w:tc>
          <w:tcPr>
            <w:tcW w:w="4247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 xml:space="preserve">   Chihaya</w:t>
            </w:r>
            <w:r w:rsidRPr="006D3063">
              <w:rPr>
                <w:rFonts w:eastAsia="游ゴシック" w:hint="eastAsia"/>
                <w:bCs/>
                <w:i/>
                <w:iCs/>
                <w:sz w:val="24"/>
                <w:szCs w:val="24"/>
                <w14:ligatures w14:val="standardContextual"/>
              </w:rPr>
              <w:t>b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>uru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kami ya kirikemu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 xml:space="preserve">   tsuku kara ni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chitose no</w:t>
            </w:r>
            <w:r w:rsidRPr="006D3063">
              <w:rPr>
                <w:rFonts w:eastAsia="游ゴシック" w:hint="eastAsia"/>
                <w:bCs/>
                <w:i/>
                <w:iCs/>
                <w:sz w:val="24"/>
                <w:szCs w:val="24"/>
                <w14:ligatures w14:val="standardContextual"/>
              </w:rPr>
              <w:t xml:space="preserve"> s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>aka mo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br/>
              <w:t>koenu</w:t>
            </w:r>
            <w:r w:rsidRPr="006D3063">
              <w:rPr>
                <w:rFonts w:eastAsia="游ゴシック" w:hint="eastAsia"/>
                <w:bCs/>
                <w:i/>
                <w:iCs/>
                <w:sz w:val="24"/>
                <w:szCs w:val="24"/>
                <w14:ligatures w14:val="standardContextual"/>
              </w:rPr>
              <w:t xml:space="preserve"> b</w:t>
            </w:r>
            <w:r w:rsidRPr="006D3063">
              <w:rPr>
                <w:rFonts w:eastAsia="游ゴシック"/>
                <w:bCs/>
                <w:i/>
                <w:iCs/>
                <w:sz w:val="24"/>
                <w:szCs w:val="24"/>
                <w14:ligatures w14:val="standardContextual"/>
              </w:rPr>
              <w:t>era nari</w:t>
            </w:r>
          </w:p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sz w:val="24"/>
                <w:szCs w:val="24"/>
                <w14:ligatures w14:val="standardContextual"/>
              </w:rPr>
            </w:pPr>
          </w:p>
        </w:tc>
        <w:tc>
          <w:tcPr>
            <w:tcW w:w="4247" w:type="dxa"/>
          </w:tcPr>
          <w:p w:rsidR="00B4549A" w:rsidRPr="006D3063" w:rsidRDefault="00B4549A" w:rsidP="006D3063">
            <w:pPr>
              <w:spacing w:before="165" w:line="319" w:lineRule="auto"/>
              <w:ind w:left="289" w:right="284"/>
              <w:rPr>
                <w:rFonts w:eastAsia="游ゴシック"/>
                <w:bCs/>
                <w:sz w:val="24"/>
                <w:szCs w:val="24"/>
                <w14:ligatures w14:val="standardContextual"/>
              </w:rPr>
            </w:pP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t xml:space="preserve">   is this the handiwork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of one of the awesome gods—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 xml:space="preserve">   thrusting it before me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I shall cross even the</w:t>
            </w:r>
            <w:r w:rsidRPr="006D3063">
              <w:rPr>
                <w:rFonts w:eastAsia="游ゴシック"/>
                <w:bCs/>
                <w:sz w:val="24"/>
                <w:szCs w:val="24"/>
                <w14:ligatures w14:val="standardContextual"/>
              </w:rPr>
              <w:br/>
              <w:t>great hill of one thousand years</w:t>
            </w:r>
          </w:p>
        </w:tc>
      </w:tr>
    </w:tbl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 xml:space="preserve">Poem 348, </w:t>
      </w:r>
      <w:r w:rsidRPr="006D3063">
        <w:rPr>
          <w:rFonts w:eastAsia="游ゴシック"/>
          <w:bCs/>
          <w:i/>
          <w:iCs/>
          <w:sz w:val="24"/>
        </w:rPr>
        <w:t>Henjō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 xml:space="preserve">This poem was composed by Henjō in praise of a silver cane that Emperor Kōkō </w:t>
      </w:r>
      <w:r w:rsidRPr="006D306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5202B8" wp14:editId="2B3F4A33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1693334"/>
                <wp:effectExtent l="0" t="0" r="12700" b="8890"/>
                <wp:wrapNone/>
                <wp:docPr id="172175529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6933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4846" id="docshape8" o:spid="_x0000_s1026" style="position:absolute;margin-left:81.35pt;margin-top:-1.65pt;width:442pt;height:13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6D3063">
        <w:rPr>
          <w:rFonts w:eastAsia="游ゴシック"/>
          <w:bCs/>
          <w:sz w:val="24"/>
        </w:rPr>
        <w:t>commissioned as</w:t>
      </w:r>
      <w:r w:rsidRPr="006D3063">
        <w:rPr>
          <w:rFonts w:eastAsia="游ゴシック" w:hint="eastAsia"/>
          <w:bCs/>
          <w:sz w:val="24"/>
        </w:rPr>
        <w:t xml:space="preserve"> a</w:t>
      </w:r>
      <w:r w:rsidRPr="006D3063">
        <w:rPr>
          <w:rFonts w:eastAsia="游ゴシック"/>
          <w:bCs/>
          <w:sz w:val="24"/>
        </w:rPr>
        <w:t xml:space="preserve"> birthday gift to one of his female relatives. The poem anticipates her delight and praises the gift’s beauty.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 xml:space="preserve">The translations are modified versions from those in </w:t>
      </w:r>
      <w:r w:rsidRPr="006D3063">
        <w:rPr>
          <w:rFonts w:eastAsia="游ゴシック"/>
          <w:bCs/>
          <w:i/>
          <w:iCs/>
          <w:sz w:val="24"/>
        </w:rPr>
        <w:t xml:space="preserve">Kokinshū: A Collection of Poems Ancient and Modern </w:t>
      </w:r>
      <w:r w:rsidRPr="006D3063">
        <w:rPr>
          <w:rFonts w:eastAsia="游ゴシック"/>
          <w:bCs/>
          <w:sz w:val="24"/>
        </w:rPr>
        <w:t xml:space="preserve">by Laurel Rasplica Rodd and Mary Catherine Henkenius, </w:t>
      </w:r>
    </w:p>
    <w:p w:rsidR="00B4549A" w:rsidRPr="006D3063" w:rsidRDefault="00B4549A" w:rsidP="006D3063">
      <w:pPr>
        <w:spacing w:before="165" w:line="319" w:lineRule="auto"/>
        <w:ind w:left="289" w:right="284"/>
        <w:rPr>
          <w:rFonts w:eastAsia="游ゴシック"/>
          <w:bCs/>
          <w:sz w:val="24"/>
        </w:rPr>
      </w:pPr>
      <w:r w:rsidRPr="006D3063">
        <w:rPr>
          <w:rFonts w:eastAsia="游ゴシック"/>
          <w:bCs/>
          <w:sz w:val="24"/>
        </w:rPr>
        <w:t>in order to match differences in the source Japanese.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9A"/>
    <w:rsid w:val="001A5971"/>
    <w:rsid w:val="00625A2B"/>
    <w:rsid w:val="00B4549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3AFA3-7B5E-4397-B85C-7C027C9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45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454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54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54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5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5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5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5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5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54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5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5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5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54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54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549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454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4549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table" w:styleId="ac">
    <w:name w:val="Table Grid"/>
    <w:basedOn w:val="a1"/>
    <w:uiPriority w:val="39"/>
    <w:rsid w:val="00B4549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