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0BE" w:rsidRDefault="003950BE" w:rsidP="000F7679">
      <w:pPr>
        <w:rPr>
          <w:rFonts w:ascii="Source Han Sans TC Normal" w:eastAsia="Source Han Sans TC Normal" w:hAnsi="Source Han Sans TC Normal" w:cs="思源黑體 TW Normal"/>
          <w:b/>
          <w:szCs w:val="22"/>
        </w:rPr>
      </w:pPr>
      <w:r>
        <w:rPr>
          <w:b/>
        </w:rPr>
        <w:t>國寶</w:t>
      </w:r>
    </w:p>
    <w:p/>
    <w:p w:rsidR="003950BE" w:rsidRPr="000F7679" w:rsidRDefault="003950BE" w:rsidP="000F7679">
      <w:pPr>
        <w:rPr>
          <w:rFonts w:ascii="Source Han Sans TC Normal" w:eastAsia="Source Han Sans TC Normal" w:hAnsi="Source Han Sans TC Normal" w:cs="思源黑體 TW Normal"/>
          <w:szCs w:val="22"/>
        </w:rPr>
      </w:pPr>
      <w:r w:rsidRPr="000F7679">
        <w:rPr>
          <w:rFonts w:ascii="Source Han Sans TC Normal" w:eastAsia="Source Han Sans TC Normal" w:hAnsi="Source Han Sans TC Normal" w:cs="思源黑體 TW Normal"/>
          <w:b/>
          <w:szCs w:val="22"/>
        </w:rPr>
        <w:t>金地螺鈿毛拔形太刀</w:t>
      </w:r>
    </w:p>
    <w:p w:rsidR="003950BE" w:rsidRPr="000F7679" w:rsidRDefault="003950BE" w:rsidP="000F7679">
      <w:pPr>
        <w:rPr>
          <w:rFonts w:ascii="Source Han Sans TC Normal" w:eastAsia="Source Han Sans TC Normal" w:hAnsi="Source Han Sans TC Normal" w:cs="思源黑體 TW Normal"/>
          <w:szCs w:val="22"/>
        </w:rPr>
      </w:pPr>
      <w:r w:rsidRPr="000F7679">
        <w:rPr>
          <w:rFonts w:ascii="Source Han Sans TC Normal" w:eastAsia="Source Han Sans TC Normal" w:hAnsi="Source Han Sans TC Normal" w:cs="思源黑體 TW Normal"/>
          <w:szCs w:val="22"/>
        </w:rPr>
        <w:t>這把華麗的太刀是十二世紀工藝的優越典範。儘管因為刀刃生鏽而無法從刀鞘拔出，但這把刀的重要性主要在於精巧的製刀工藝以及珍珠母鑲嵌的優越典範。刀柄、刀鍔以及其他好幾種裝飾元素的邊緣均由純金打造，因此整把太刀的重量比看起來還要重得多。</w:t>
      </w:r>
    </w:p>
    <w:p w:rsidR="003950BE" w:rsidRPr="000F7679" w:rsidRDefault="003950BE" w:rsidP="000F7679">
      <w:pPr>
        <w:rPr>
          <w:rFonts w:ascii="Source Han Sans TC Normal" w:eastAsia="Source Han Sans TC Normal" w:hAnsi="Source Han Sans TC Normal" w:cs="思源黑體 TW Normal"/>
          <w:szCs w:val="22"/>
        </w:rPr>
      </w:pPr>
    </w:p>
    <w:p w:rsidR="003950BE" w:rsidRPr="000F7679" w:rsidRDefault="003950BE" w:rsidP="000F7679">
      <w:pPr>
        <w:rPr>
          <w:rFonts w:ascii="Source Han Sans TC Normal" w:eastAsia="Source Han Sans TC Normal" w:hAnsi="Source Han Sans TC Normal" w:cs="思源黑體 TW Normal"/>
          <w:szCs w:val="22"/>
        </w:rPr>
      </w:pPr>
      <w:r w:rsidRPr="000F7679">
        <w:rPr>
          <w:rFonts w:ascii="Source Han Sans TC Normal" w:eastAsia="Source Han Sans TC Normal" w:hAnsi="Source Han Sans TC Normal" w:cs="思源黑體 TW Normal"/>
          <w:szCs w:val="22"/>
        </w:rPr>
        <w:t>這把太刀仿照的是皇宮衛兵所攜帶的奉納武器。這在刀柄上尤其明顯，刀柄是「毛拔形」構造，特徵是中間有一個開口。從十二世紀留存至今的這種太刀非常少，這種獨特設計的用途尚不清楚。</w:t>
      </w:r>
    </w:p>
    <w:p w:rsidR="003950BE" w:rsidRPr="000F7679" w:rsidRDefault="003950BE" w:rsidP="000F7679">
      <w:pPr>
        <w:rPr>
          <w:rFonts w:ascii="Source Han Sans TC Normal" w:eastAsia="Source Han Sans TC Normal" w:hAnsi="Source Han Sans TC Normal" w:cs="思源黑體 TW Normal"/>
          <w:szCs w:val="22"/>
        </w:rPr>
      </w:pPr>
    </w:p>
    <w:p w:rsidR="003950BE" w:rsidRPr="000F7679" w:rsidRDefault="003950BE" w:rsidP="000F7679">
      <w:pPr>
        <w:rPr>
          <w:rFonts w:ascii="Source Han Sans TC Normal" w:eastAsia="Source Han Sans TC Normal" w:hAnsi="Source Han Sans TC Normal" w:cs="思源黑體 TW Normal"/>
          <w:szCs w:val="22"/>
        </w:rPr>
      </w:pPr>
      <w:r w:rsidRPr="000F7679">
        <w:rPr>
          <w:rFonts w:ascii="Source Han Sans TC Normal" w:eastAsia="Source Han Sans TC Normal" w:hAnsi="Source Han Sans TC Normal" w:cs="思源黑體 TW Normal"/>
          <w:szCs w:val="22"/>
        </w:rPr>
        <w:t>在刀鞘兩側，從刀尖到刀鞘口連續繪有一隻貓尾隨麻雀，捉住後再驕傲走開的場景。場景是以珍珠母鑲嵌在黑色亮漆的背景上，並撒上厚實的金粉。珍珠母上又另外鋪上藍色玻璃，在製刀年代是一種昂貴的進口材料。竹子的手工雕刻細節還有貓的面部表情，證明了工匠的專業技巧。</w:t>
      </w:r>
    </w:p>
    <w:p w:rsidR="003950BE" w:rsidRPr="000F7679" w:rsidRDefault="003950BE" w:rsidP="000F7679">
      <w:pPr>
        <w:rPr>
          <w:rFonts w:ascii="Source Han Sans TC Normal" w:eastAsia="Source Han Sans TC Normal" w:hAnsi="Source Han Sans TC Normal" w:cs="思源黑體 TW Normal"/>
          <w:szCs w:val="22"/>
        </w:rPr>
      </w:pPr>
    </w:p>
    <w:p w:rsidR="003950BE" w:rsidRPr="000F7679" w:rsidRDefault="003950BE" w:rsidP="000F7679">
      <w:pPr>
        <w:rPr>
          <w:rFonts w:ascii="Source Han Sans TC Normal" w:eastAsia="Source Han Sans TC Normal" w:hAnsi="Source Han Sans TC Normal" w:cs="思源黑體 TW Normal"/>
          <w:szCs w:val="22"/>
        </w:rPr>
      </w:pPr>
      <w:r w:rsidRPr="000F7679">
        <w:rPr>
          <w:rFonts w:ascii="Source Han Sans TC Normal" w:eastAsia="Source Han Sans TC Normal" w:hAnsi="Source Han Sans TC Normal" w:cs="思源黑體 TW Normal"/>
          <w:szCs w:val="22"/>
        </w:rPr>
        <w:t>這幅精心繪製的場景除了具有藝術價值以外，還呈現一個重要的歷史細節：這隻貓戴著項圈，表示在平安時代（794–1185年）貓已作</w:t>
      </w:r>
      <w:r w:rsidRPr="000F7679">
        <w:rPr>
          <w:rFonts w:ascii="Source Han Sans TC Normal" w:eastAsia="Source Han Sans TC Normal" w:hAnsi="Source Han Sans TC Normal"/>
        </w:rPr>
        <w:t xml:space="preserve">     </w:t>
      </w:r>
      <w:r w:rsidRPr="000F7679">
        <w:rPr>
          <w:rFonts w:ascii="Source Han Sans TC Normal" w:eastAsia="Source Han Sans TC Normal" w:hAnsi="Source Han Sans TC Normal" w:cs="思源黑體 TW Normal"/>
          <w:szCs w:val="22"/>
        </w:rPr>
        <w:t>為寵物被飼養。當時很少以貓作為創作主體，因此太刀的主題圖案可能具有另一層涵義，例如以視覺意象影射當代人物。</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C Normal">
    <w:altName w:val="游ゴシック"/>
    <w:panose1 w:val="00000000000000000000"/>
    <w:charset w:val="80"/>
    <w:family w:val="swiss"/>
    <w:notTrueType/>
    <w:pitch w:val="variable"/>
    <w:sig w:usb0="30000287" w:usb1="2BDF3C10" w:usb2="00000016" w:usb3="00000000" w:csb0="003A0107"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BE"/>
    <w:rsid w:val="001A5971"/>
    <w:rsid w:val="003950B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DCF1FC-480B-4C0D-B2C4-48B62810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0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0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0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0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0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0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0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0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0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0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0BE"/>
    <w:pPr>
      <w:spacing w:before="160"/>
      <w:jc w:val="center"/>
    </w:pPr>
    <w:rPr>
      <w:i/>
      <w:iCs/>
      <w:color w:val="404040" w:themeColor="text1" w:themeTint="BF"/>
    </w:rPr>
  </w:style>
  <w:style w:type="character" w:customStyle="1" w:styleId="a8">
    <w:name w:val="引用文 (文字)"/>
    <w:basedOn w:val="a0"/>
    <w:link w:val="a7"/>
    <w:uiPriority w:val="29"/>
    <w:rsid w:val="003950BE"/>
    <w:rPr>
      <w:i/>
      <w:iCs/>
      <w:color w:val="404040" w:themeColor="text1" w:themeTint="BF"/>
    </w:rPr>
  </w:style>
  <w:style w:type="paragraph" w:styleId="a9">
    <w:name w:val="List Paragraph"/>
    <w:basedOn w:val="a"/>
    <w:uiPriority w:val="34"/>
    <w:qFormat/>
    <w:rsid w:val="003950BE"/>
    <w:pPr>
      <w:ind w:left="720"/>
      <w:contextualSpacing/>
    </w:pPr>
  </w:style>
  <w:style w:type="character" w:styleId="21">
    <w:name w:val="Intense Emphasis"/>
    <w:basedOn w:val="a0"/>
    <w:uiPriority w:val="21"/>
    <w:qFormat/>
    <w:rsid w:val="003950BE"/>
    <w:rPr>
      <w:i/>
      <w:iCs/>
      <w:color w:val="0F4761" w:themeColor="accent1" w:themeShade="BF"/>
    </w:rPr>
  </w:style>
  <w:style w:type="paragraph" w:styleId="22">
    <w:name w:val="Intense Quote"/>
    <w:basedOn w:val="a"/>
    <w:next w:val="a"/>
    <w:link w:val="23"/>
    <w:uiPriority w:val="30"/>
    <w:qFormat/>
    <w:rsid w:val="00395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0BE"/>
    <w:rPr>
      <w:i/>
      <w:iCs/>
      <w:color w:val="0F4761" w:themeColor="accent1" w:themeShade="BF"/>
    </w:rPr>
  </w:style>
  <w:style w:type="character" w:styleId="24">
    <w:name w:val="Intense Reference"/>
    <w:basedOn w:val="a0"/>
    <w:uiPriority w:val="32"/>
    <w:qFormat/>
    <w:rsid w:val="00395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2025-08-29T17:35:00Z</dcterms:created>
  <dcterms:modified xsi:type="dcterms:W3CDTF">2025-08-29T17:35:00Z</dcterms:modified>
</cp:coreProperties>
</file>