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236" w:rsidRPr="0044423D" w:rsidRDefault="00274236" w:rsidP="00274236">
      <w:pPr>
        <w:widowControl/>
        <w:snapToGrid w:val="0"/>
        <w:contextualSpacing/>
        <w:rPr>
          <w:rFonts w:ascii="Source Han Sans TW Normal" w:eastAsia="Source Han Sans TW Normal" w:hAnsi="Source Han Sans TW Normal" w:cstheme="majorHAnsi"/>
          <w:b/>
        </w:rPr>
      </w:pPr>
      <w:r>
        <w:rPr>
          <w:b/>
        </w:rPr>
        <w:t>訓誡之石</w:t>
      </w:r>
    </w:p>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在霞城公園東端，即昔日武士進出城池的城門遺址上，矗立著一塊高8公尺的巨石。石頭上刻有四行箴言：</w:t>
      </w: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爾俸爾祿</w:t>
      </w: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民脂民膏</w:t>
      </w:r>
      <w:r w:rsidRPr="0044423D">
        <w:rPr>
          <w:rFonts w:ascii="Source Han Sans TW Normal" w:eastAsia="Source Han Sans TW Normal" w:hAnsi="Source Han Sans TW Normal" w:cstheme="majorHAnsi"/>
          <w:bCs/>
          <w:lang w:eastAsia="zh-TW"/>
        </w:rPr>
        <w:br/>
        <w:t>下民易虐</w:t>
      </w:r>
      <w:r w:rsidRPr="0044423D">
        <w:rPr>
          <w:rFonts w:ascii="Source Han Sans TW Normal" w:eastAsia="Source Han Sans TW Normal" w:hAnsi="Source Han Sans TW Normal" w:cstheme="majorHAnsi"/>
          <w:bCs/>
          <w:lang w:eastAsia="zh-TW"/>
        </w:rPr>
        <w:br/>
        <w:t>上天難欺</w:t>
      </w: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這塊訓誡石碑是二本松藩第五代藩主丹羽高寬於1749年下令樹立的，意在告誡藩內武士要愛惜二本松的百姓。丹羽高寬是一位具有改革精神的領袖，曾經邀請儒學學者岩井田昨非協助整頓和改善藩內的治理</w:t>
      </w:r>
      <w:r w:rsidRPr="0044423D">
        <w:rPr>
          <w:rFonts w:ascii="Source Han Sans TW Normal" w:eastAsia="Source Han Sans TW Normal" w:hAnsi="Source Han Sans TW Normal" w:cstheme="majorHAnsi" w:hint="eastAsia"/>
          <w:bCs/>
          <w:lang w:eastAsia="zh-TW"/>
        </w:rPr>
        <w:t>，</w:t>
      </w:r>
      <w:r w:rsidRPr="0044423D">
        <w:rPr>
          <w:rFonts w:ascii="Source Han Sans TW Normal" w:eastAsia="Source Han Sans TW Normal" w:hAnsi="Source Han Sans TW Normal" w:cstheme="majorHAnsi"/>
          <w:bCs/>
          <w:lang w:eastAsia="zh-TW"/>
        </w:rPr>
        <w:t>這塊訓誡之石便是因為岩井田昨非的建議</w:t>
      </w:r>
      <w:r w:rsidRPr="0044423D">
        <w:rPr>
          <w:rFonts w:ascii="Source Han Sans TW Normal" w:eastAsia="Source Han Sans TW Normal" w:hAnsi="Source Han Sans TW Normal" w:cstheme="majorHAnsi" w:hint="eastAsia"/>
          <w:bCs/>
          <w:lang w:eastAsia="zh-TW"/>
        </w:rPr>
        <w:t>之一</w:t>
      </w:r>
      <w:r w:rsidRPr="0044423D">
        <w:rPr>
          <w:rFonts w:ascii="Source Han Sans TW Normal" w:eastAsia="Source Han Sans TW Normal" w:hAnsi="Source Han Sans TW Normal" w:cstheme="majorHAnsi"/>
          <w:bCs/>
          <w:lang w:eastAsia="zh-TW"/>
        </w:rPr>
        <w:t>。由於當時這條道路比現在的道路還要低，這塊聳立在路過的藩士頭頂上的巨石，比現在更具存在感。</w:t>
      </w: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這四行箴言，節選自十世紀中國五代十國時期後蜀的末代皇帝孟昶在石碑上所刻的訓誡文。孟昶的石碑為後世樹立了典範，以至於後來的幾百年裡，中國各地許多石碑的樹立都受其影響，而岩井田昨非對此也了然於胸。</w:t>
      </w: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p>
    <w:p w:rsidR="00274236" w:rsidRPr="0044423D" w:rsidRDefault="00274236" w:rsidP="00274236">
      <w:pPr>
        <w:widowControl/>
        <w:snapToGrid w:val="0"/>
        <w:contextualSpacing/>
        <w:rPr>
          <w:rFonts w:ascii="Source Han Sans TW Normal" w:eastAsia="Source Han Sans TW Normal" w:hAnsi="Source Han Sans TW Normal" w:cstheme="majorHAnsi"/>
          <w:bCs/>
          <w:lang w:eastAsia="zh-TW"/>
        </w:rPr>
      </w:pPr>
      <w:r w:rsidRPr="0044423D">
        <w:rPr>
          <w:rFonts w:ascii="Source Han Sans TW Normal" w:eastAsia="Source Han Sans TW Normal" w:hAnsi="Source Han Sans TW Normal" w:cstheme="majorHAnsi"/>
          <w:bCs/>
          <w:lang w:eastAsia="zh-TW"/>
        </w:rPr>
        <w:t>根據史料記載，這塊訓誡之石確實發揮了應有的作用，激勵了藩內武士更加勤勉工作，也更加尊重百姓。然而，不久之後，在二本松的農民之間卻流傳另一種說法</w:t>
      </w:r>
      <w:r w:rsidRPr="0044423D">
        <w:rPr>
          <w:rFonts w:ascii="Source Han Sans TW Normal" w:eastAsia="Source Han Sans TW Normal" w:hAnsi="Source Han Sans TW Normal" w:cstheme="majorHAnsi" w:hint="eastAsia"/>
          <w:bCs/>
          <w:lang w:eastAsia="zh-TW"/>
        </w:rPr>
        <w:t>，認為如果將這首詩倒過來讀，就變成了要更加驅使百姓勞動，並奪走他們所有財產的意思。</w:t>
      </w:r>
      <w:r w:rsidRPr="0044423D">
        <w:rPr>
          <w:rFonts w:ascii="Source Han Sans TW Normal" w:eastAsia="Source Han Sans TW Normal" w:hAnsi="Source Han Sans TW Normal" w:cstheme="majorHAnsi"/>
          <w:bCs/>
          <w:lang w:eastAsia="zh-TW"/>
        </w:rPr>
        <w:t>1749年恰逢歉收之年，二本松藩隨後爆發了嚴重的農民起義。</w:t>
      </w:r>
      <w:r w:rsidRPr="0044423D">
        <w:rPr>
          <w:rFonts w:ascii="Source Han Sans TW Normal" w:eastAsia="Source Han Sans TW Normal" w:hAnsi="Source Han Sans TW Normal" w:cstheme="majorHAnsi" w:hint="eastAsia"/>
          <w:bCs/>
          <w:lang w:eastAsia="zh-TW"/>
        </w:rPr>
        <w:t>根</w:t>
      </w:r>
      <w:r w:rsidRPr="0044423D">
        <w:rPr>
          <w:rFonts w:ascii="Source Han Sans TW Normal" w:eastAsia="Source Han Sans TW Normal" w:hAnsi="Source Han Sans TW Normal" w:cstheme="majorHAnsi"/>
          <w:bCs/>
          <w:lang w:eastAsia="zh-TW"/>
        </w:rPr>
        <w:t>據</w:t>
      </w:r>
      <w:r w:rsidRPr="0044423D">
        <w:rPr>
          <w:rFonts w:ascii="Source Han Sans TW Normal" w:eastAsia="Source Han Sans TW Normal" w:hAnsi="Source Han Sans TW Normal" w:cstheme="majorHAnsi" w:hint="eastAsia"/>
          <w:bCs/>
          <w:lang w:eastAsia="zh-TW"/>
        </w:rPr>
        <w:t>紀錄</w:t>
      </w:r>
      <w:r w:rsidRPr="0044423D">
        <w:rPr>
          <w:rFonts w:ascii="Source Han Sans TW Normal" w:eastAsia="Source Han Sans TW Normal" w:hAnsi="Source Han Sans TW Normal" w:cstheme="majorHAnsi"/>
          <w:bCs/>
          <w:lang w:eastAsia="zh-TW"/>
        </w:rPr>
        <w:t>，岩井田昨非親自去和叛亂者們對話，並出色地解釋了碑文的真正意圖，使得許多人流下了眼淚，並要求結束叛亂。</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36"/>
    <w:rsid w:val="001A5971"/>
    <w:rsid w:val="0027423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E23C24-B43F-4F41-8082-52A3D93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2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42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42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42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42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42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42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42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42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2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42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42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42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42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42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42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42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42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4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4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4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236"/>
    <w:pPr>
      <w:spacing w:before="160"/>
      <w:jc w:val="center"/>
    </w:pPr>
    <w:rPr>
      <w:i/>
      <w:iCs/>
      <w:color w:val="404040" w:themeColor="text1" w:themeTint="BF"/>
    </w:rPr>
  </w:style>
  <w:style w:type="character" w:customStyle="1" w:styleId="a8">
    <w:name w:val="引用文 (文字)"/>
    <w:basedOn w:val="a0"/>
    <w:link w:val="a7"/>
    <w:uiPriority w:val="29"/>
    <w:rsid w:val="00274236"/>
    <w:rPr>
      <w:i/>
      <w:iCs/>
      <w:color w:val="404040" w:themeColor="text1" w:themeTint="BF"/>
    </w:rPr>
  </w:style>
  <w:style w:type="paragraph" w:styleId="a9">
    <w:name w:val="List Paragraph"/>
    <w:basedOn w:val="a"/>
    <w:uiPriority w:val="34"/>
    <w:qFormat/>
    <w:rsid w:val="00274236"/>
    <w:pPr>
      <w:ind w:left="720"/>
      <w:contextualSpacing/>
    </w:pPr>
  </w:style>
  <w:style w:type="character" w:styleId="21">
    <w:name w:val="Intense Emphasis"/>
    <w:basedOn w:val="a0"/>
    <w:uiPriority w:val="21"/>
    <w:qFormat/>
    <w:rsid w:val="00274236"/>
    <w:rPr>
      <w:i/>
      <w:iCs/>
      <w:color w:val="0F4761" w:themeColor="accent1" w:themeShade="BF"/>
    </w:rPr>
  </w:style>
  <w:style w:type="paragraph" w:styleId="22">
    <w:name w:val="Intense Quote"/>
    <w:basedOn w:val="a"/>
    <w:next w:val="a"/>
    <w:link w:val="23"/>
    <w:uiPriority w:val="30"/>
    <w:qFormat/>
    <w:rsid w:val="0027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4236"/>
    <w:rPr>
      <w:i/>
      <w:iCs/>
      <w:color w:val="0F4761" w:themeColor="accent1" w:themeShade="BF"/>
    </w:rPr>
  </w:style>
  <w:style w:type="character" w:styleId="24">
    <w:name w:val="Intense Reference"/>
    <w:basedOn w:val="a0"/>
    <w:uiPriority w:val="32"/>
    <w:qFormat/>
    <w:rsid w:val="00274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2025-08-29T17:26:00Z</dcterms:created>
  <dcterms:modified xsi:type="dcterms:W3CDTF">2025-08-29T17:26:00Z</dcterms:modified>
</cp:coreProperties>
</file>