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7F6" w:rsidRDefault="00B277F6">
      <w:pPr>
        <w:rPr>
          <w:rFonts w:ascii="Source Han Sans CN Normal" w:eastAsia="Source Han Sans CN Normal" w:hAnsi="Source Han Sans CN Normal" w:cs="Source Han Sans CN Normal"/>
        </w:rPr>
      </w:pPr>
      <w:r>
        <w:rPr>
          <w:b/>
        </w:rPr>
        <w:t>北前船贸易</w:t>
      </w:r>
    </w:p>
    <w:p/>
    <w:p w:rsidR="00B277F6" w:rsidRDefault="00B277F6">
      <w:pPr>
        <w:ind w:firstLine="440"/>
        <w:rPr>
          <w:rFonts w:ascii="Source Han Sans CN Normal" w:eastAsia="Source Han Sans CN Normal" w:hAnsi="Source Han Sans CN Normal" w:cs="Source Han Sans CN Normal"/>
        </w:rPr>
      </w:pPr>
      <w:r>
        <w:rPr>
          <w:rFonts w:ascii="Source Han Sans CN Normal" w:eastAsia="Source Han Sans CN Normal" w:hAnsi="Source Han Sans CN Normal" w:cs="Source Han Sans CN Normal"/>
        </w:rPr>
        <w:t>从</w:t>
      </w:r>
      <w:r>
        <w:rPr>
          <w:rFonts w:ascii="Times New Roman" w:eastAsia="Times New Roman" w:hAnsi="Times New Roman" w:cs="Times New Roman"/>
        </w:rPr>
        <w:t>18</w:t>
      </w:r>
      <w:r>
        <w:rPr>
          <w:rFonts w:ascii="Source Han Sans CN Normal" w:eastAsia="Source Han Sans CN Normal" w:hAnsi="Source Han Sans CN Normal" w:cs="Source Han Sans CN Normal"/>
        </w:rPr>
        <w:t>世纪中叶到</w:t>
      </w:r>
      <w:r>
        <w:rPr>
          <w:rFonts w:ascii="Times New Roman" w:eastAsia="Times New Roman" w:hAnsi="Times New Roman" w:cs="Times New Roman"/>
        </w:rPr>
        <w:t>20</w:t>
      </w:r>
      <w:r>
        <w:rPr>
          <w:rFonts w:ascii="Source Han Sans CN Normal" w:eastAsia="Source Han Sans CN Normal" w:hAnsi="Source Han Sans CN Normal" w:cs="Source Han Sans CN Normal"/>
        </w:rPr>
        <w:t>世纪初叶，土崎作为大阪与北海道之间贸易航线的重要停靠点得以繁荣发展。这些航行于日本海的木制商船统称为“北前船”（北行船），它们连接了日本海沿岸的城镇，促进了货物、文化和信息的交流。沿海贸易带来的财富使许多土崎商人比日本社会等级中地位更高的武士还要富有。</w:t>
      </w:r>
    </w:p>
    <w:p w:rsidR="00B277F6" w:rsidRDefault="00B277F6">
      <w:pPr>
        <w:ind w:firstLine="284"/>
        <w:rPr>
          <w:rFonts w:ascii="Source Han Sans CN Normal" w:eastAsia="Source Han Sans CN Normal" w:hAnsi="Source Han Sans CN Normal" w:cs="Source Han Sans CN Normal"/>
        </w:rPr>
      </w:pPr>
      <w:r>
        <w:rPr>
          <w:rFonts w:ascii="Source Han Sans CN Normal" w:eastAsia="Source Han Sans CN Normal" w:hAnsi="Source Han Sans CN Normal" w:cs="Source Han Sans CN Normal"/>
        </w:rPr>
        <w:t xml:space="preserve">  这条航线在</w:t>
      </w:r>
      <w:r>
        <w:rPr>
          <w:rFonts w:ascii="Times New Roman" w:eastAsia="Times New Roman" w:hAnsi="Times New Roman" w:cs="Times New Roman"/>
        </w:rPr>
        <w:t>17</w:t>
      </w:r>
      <w:r>
        <w:rPr>
          <w:rFonts w:ascii="Source Han Sans CN Normal" w:eastAsia="Source Han Sans CN Normal" w:hAnsi="Source Han Sans CN Normal" w:cs="Source Han Sans CN Normal"/>
        </w:rPr>
        <w:t>世纪</w:t>
      </w:r>
      <w:r>
        <w:rPr>
          <w:rFonts w:ascii="Times New Roman" w:eastAsia="Times New Roman" w:hAnsi="Times New Roman" w:cs="Times New Roman"/>
        </w:rPr>
        <w:t>70</w:t>
      </w:r>
      <w:r>
        <w:rPr>
          <w:rFonts w:ascii="Source Han Sans CN Normal" w:eastAsia="Source Han Sans CN Normal" w:hAnsi="Source Han Sans CN Normal" w:cs="Source Han Sans CN Normal"/>
        </w:rPr>
        <w:t>年代首次开通，但北前船贸易在</w:t>
      </w:r>
      <w:r>
        <w:rPr>
          <w:rFonts w:ascii="Times New Roman" w:eastAsia="Times New Roman" w:hAnsi="Times New Roman" w:cs="Times New Roman"/>
        </w:rPr>
        <w:t>18</w:t>
      </w:r>
      <w:r>
        <w:rPr>
          <w:rFonts w:ascii="Source Han Sans CN Normal" w:eastAsia="Source Han Sans CN Normal" w:hAnsi="Source Han Sans CN Normal" w:cs="Source Han Sans CN Normal"/>
        </w:rPr>
        <w:t>世纪中期才真正开始，独立经营的商人开始用自己的包租船运输货物。商人不仅是把货物从大阪运到北海道，还在沿途的每个港口积极买卖货物。他们凭借自己的知识和经验，充分把握沿途各城镇的价格差异，进而相应地提高货物价格。这样的贸易策略利润丰厚，一次往返航行可以带来相当于今天一亿日元的利润。</w:t>
      </w:r>
    </w:p>
    <w:p w:rsidR="00B277F6" w:rsidRDefault="00B277F6">
      <w:pPr>
        <w:ind w:firstLine="284"/>
        <w:rPr>
          <w:rFonts w:ascii="Source Han Sans CN Normal" w:eastAsia="Source Han Sans CN Normal" w:hAnsi="Source Han Sans CN Normal" w:cs="Source Han Sans CN Normal"/>
        </w:rPr>
      </w:pPr>
      <w:r>
        <w:rPr>
          <w:rFonts w:ascii="Source Han Sans CN Normal" w:eastAsia="Source Han Sans CN Normal" w:hAnsi="Source Han Sans CN Normal" w:cs="Source Han Sans CN Normal"/>
        </w:rPr>
        <w:t xml:space="preserve">   当时最受欢迎的商品之一是在北海道近海捕获的太平洋鲱鱼。除了作为食物，鲱鱼还可以通过发酵制成优质的肥料。这种鲱鱼还能用来生产灯油，这在电力普及之前是宝贵的资源。加工后的商品能够以鲱鱼本身成本的五到十倍的价格出售。</w:t>
      </w:r>
    </w:p>
    <w:p w:rsidR="00B277F6" w:rsidRDefault="00B277F6">
      <w:pPr>
        <w:rPr>
          <w:rFonts w:ascii="Source Han Sans CN Normal" w:eastAsia="Source Han Sans CN Normal" w:hAnsi="Source Han Sans CN Normal" w:cs="Source Han Sans CN Normal"/>
        </w:rPr>
      </w:pPr>
    </w:p>
    <w:p w:rsidR="00B277F6" w:rsidRDefault="00B277F6">
      <w:pPr>
        <w:rPr>
          <w:rFonts w:ascii="Source Han Sans CN Normal" w:eastAsia="Source Han Sans CN Normal" w:hAnsi="Source Han Sans CN Normal" w:cs="Source Han Sans CN Normal"/>
        </w:rPr>
      </w:pPr>
      <w:r>
        <w:rPr>
          <w:rFonts w:ascii="Source Han Sans CN Normal" w:eastAsia="Source Han Sans CN Normal" w:hAnsi="Source Han Sans CN Normal" w:cs="Source Han Sans CN Normal"/>
          <w:b/>
        </w:rPr>
        <w:t>港口一带的历史遗迹</w:t>
      </w:r>
    </w:p>
    <w:p w:rsidR="00B277F6" w:rsidRDefault="00B277F6">
      <w:pPr>
        <w:ind w:firstLine="440"/>
        <w:rPr>
          <w:rFonts w:ascii="Source Han Sans CN Normal" w:eastAsia="Source Han Sans CN Normal" w:hAnsi="Source Han Sans CN Normal" w:cs="Source Han Sans CN Normal"/>
        </w:rPr>
      </w:pPr>
      <w:r>
        <w:rPr>
          <w:rFonts w:ascii="Source Han Sans CN Normal" w:eastAsia="Source Han Sans CN Normal" w:hAnsi="Source Han Sans CN Normal" w:cs="Source Han Sans CN Normal"/>
        </w:rPr>
        <w:t>在描绘秋田街道（连通秋田地区与其他主要城市的交通要道）沿途场景的手绘卷轴《秋田街道绘卷》中，可以看到土崎港口的繁盛景象。这套卷轴创作于</w:t>
      </w:r>
      <w:r>
        <w:rPr>
          <w:rFonts w:ascii="Times New Roman" w:eastAsia="Times New Roman" w:hAnsi="Times New Roman" w:cs="Times New Roman"/>
        </w:rPr>
        <w:t>18</w:t>
      </w:r>
      <w:r>
        <w:rPr>
          <w:rFonts w:ascii="Source Han Sans CN Normal" w:eastAsia="Source Han Sans CN Normal" w:hAnsi="Source Han Sans CN Normal" w:cs="Source Han Sans CN Normal"/>
        </w:rPr>
        <w:t>世纪末至</w:t>
      </w:r>
      <w:r>
        <w:rPr>
          <w:rFonts w:ascii="Times New Roman" w:eastAsia="Times New Roman" w:hAnsi="Times New Roman" w:cs="Times New Roman"/>
        </w:rPr>
        <w:t>19</w:t>
      </w:r>
      <w:r>
        <w:rPr>
          <w:rFonts w:ascii="Source Han Sans CN Normal" w:eastAsia="Source Han Sans CN Normal" w:hAnsi="Source Han Sans CN Normal" w:cs="Source Han Sans CN Normal"/>
        </w:rPr>
        <w:t>世纪初，据传出自荻津胜孝</w:t>
      </w:r>
      <w:r>
        <w:rPr>
          <w:rFonts w:ascii="Gungsuh" w:eastAsia="Gungsuh" w:hAnsi="Gungsuh" w:cs="Gungsuh"/>
        </w:rPr>
        <w:t>（1746–1809）</w:t>
      </w:r>
      <w:r>
        <w:rPr>
          <w:rFonts w:ascii="Source Han Sans CN Normal" w:eastAsia="Source Han Sans CN Normal" w:hAnsi="Source Han Sans CN Normal" w:cs="Source Han Sans CN Normal"/>
        </w:rPr>
        <w:t>之手，由三幅展现了</w:t>
      </w:r>
      <w:r>
        <w:rPr>
          <w:rFonts w:ascii="Times New Roman" w:eastAsia="Times New Roman" w:hAnsi="Times New Roman" w:cs="Times New Roman"/>
        </w:rPr>
        <w:t>200</w:t>
      </w:r>
      <w:r>
        <w:rPr>
          <w:rFonts w:ascii="Source Han Sans CN Normal" w:eastAsia="Source Han Sans CN Normal" w:hAnsi="Source Han Sans CN Normal" w:cs="Source Han Sans CN Normal"/>
        </w:rPr>
        <w:t>多年前港口生活风貌的卷轴构成。荻津胜孝描绘的一些建筑还保留至今。</w:t>
      </w:r>
    </w:p>
    <w:p w:rsidR="00B277F6" w:rsidRDefault="00B277F6">
      <w:pPr>
        <w:ind w:firstLine="284"/>
        <w:rPr>
          <w:rFonts w:ascii="Source Han Sans CN Normal" w:eastAsia="Source Han Sans CN Normal" w:hAnsi="Source Han Sans CN Normal" w:cs="Source Han Sans CN Normal"/>
        </w:rPr>
      </w:pPr>
      <w:r>
        <w:rPr>
          <w:rFonts w:ascii="Source Han Sans CN Normal" w:eastAsia="Source Han Sans CN Normal" w:hAnsi="Source Han Sans CN Normal" w:cs="Source Han Sans CN Normal"/>
        </w:rPr>
        <w:t xml:space="preserve">   卷轴中的一幅画面描绘了俯瞰海岸的山顶上的一座石塔。据说，这座石塔曾是水手们进入港口时的地标。一位富商曾于</w:t>
      </w:r>
      <w:r>
        <w:rPr>
          <w:rFonts w:ascii="Times New Roman" w:eastAsia="Times New Roman" w:hAnsi="Times New Roman" w:cs="Times New Roman"/>
        </w:rPr>
        <w:t>1643</w:t>
      </w:r>
      <w:r>
        <w:rPr>
          <w:rFonts w:ascii="Source Han Sans CN Normal" w:eastAsia="Source Han Sans CN Normal" w:hAnsi="Source Han Sans CN Normal" w:cs="Source Han Sans CN Normal"/>
        </w:rPr>
        <w:t>年在此立了一座石塔，但石塔在</w:t>
      </w:r>
      <w:r>
        <w:rPr>
          <w:rFonts w:ascii="Times New Roman" w:eastAsia="Times New Roman" w:hAnsi="Times New Roman" w:cs="Times New Roman"/>
        </w:rPr>
        <w:t>1804</w:t>
      </w:r>
      <w:r>
        <w:rPr>
          <w:rFonts w:ascii="Source Han Sans CN Normal" w:eastAsia="Source Han Sans CN Normal" w:hAnsi="Source Han Sans CN Normal" w:cs="Source Han Sans CN Normal"/>
        </w:rPr>
        <w:t>年和</w:t>
      </w:r>
      <w:r>
        <w:rPr>
          <w:rFonts w:ascii="Times New Roman" w:eastAsia="Times New Roman" w:hAnsi="Times New Roman" w:cs="Times New Roman"/>
        </w:rPr>
        <w:t>1810</w:t>
      </w:r>
      <w:r>
        <w:rPr>
          <w:rFonts w:ascii="Source Han Sans CN Normal" w:eastAsia="Source Han Sans CN Normal" w:hAnsi="Source Han Sans CN Normal" w:cs="Source Han Sans CN Normal"/>
        </w:rPr>
        <w:t>年的地震中被毁。</w:t>
      </w:r>
      <w:r>
        <w:rPr>
          <w:rFonts w:ascii="Times New Roman" w:eastAsia="Times New Roman" w:hAnsi="Times New Roman" w:cs="Times New Roman"/>
        </w:rPr>
        <w:t>1967</w:t>
      </w:r>
      <w:r>
        <w:rPr>
          <w:rFonts w:ascii="Source Han Sans CN Normal" w:eastAsia="Source Han Sans CN Normal" w:hAnsi="Source Han Sans CN Normal" w:cs="Source Han Sans CN Normal"/>
        </w:rPr>
        <w:t>年，一座与原来的石塔于同年建造的石塔被迁移至此。</w:t>
      </w:r>
    </w:p>
    <w:p w:rsidR="00B277F6" w:rsidRDefault="00B277F6">
      <w:pPr>
        <w:ind w:firstLine="284"/>
        <w:rPr>
          <w:rFonts w:ascii="Source Han Sans CN Normal" w:eastAsia="Source Han Sans CN Normal" w:hAnsi="Source Han Sans CN Normal" w:cs="Source Han Sans CN Normal"/>
        </w:rPr>
      </w:pPr>
      <w:r>
        <w:rPr>
          <w:rFonts w:ascii="Source Han Sans CN Normal" w:eastAsia="Source Han Sans CN Normal" w:hAnsi="Source Han Sans CN Normal" w:cs="Source Han Sans CN Normal"/>
        </w:rPr>
        <w:t xml:space="preserve">  卷轴中还描绘了宝塔寺的花岗岩塔。这座塔建于</w:t>
      </w:r>
      <w:r>
        <w:rPr>
          <w:rFonts w:ascii="Times New Roman" w:eastAsia="Times New Roman" w:hAnsi="Times New Roman" w:cs="Times New Roman"/>
        </w:rPr>
        <w:t>17</w:t>
      </w:r>
      <w:r>
        <w:rPr>
          <w:rFonts w:ascii="Source Han Sans CN Normal" w:eastAsia="Source Han Sans CN Normal" w:hAnsi="Source Han Sans CN Normal" w:cs="Source Han Sans CN Normal"/>
        </w:rPr>
        <w:t>世纪和</w:t>
      </w:r>
      <w:r>
        <w:rPr>
          <w:rFonts w:ascii="Times New Roman" w:eastAsia="Times New Roman" w:hAnsi="Times New Roman" w:cs="Times New Roman"/>
        </w:rPr>
        <w:t>18</w:t>
      </w:r>
      <w:r>
        <w:rPr>
          <w:rFonts w:ascii="Source Han Sans CN Normal" w:eastAsia="Source Han Sans CN Normal" w:hAnsi="Source Han Sans CN Normal" w:cs="Source Han Sans CN Normal"/>
        </w:rPr>
        <w:t>世纪之间，起因是一位商人的船在接近土崎时遭遇了突如其来的风暴。据说，当商船几乎要遇难时，寺院附近突然放出一道神秘的光芒，指引船员安全靠岸。商人相信这是寺院的守护神送出的指引之光，于是捐资建造了这座塔，以示感激。</w:t>
      </w:r>
    </w:p>
    <w:p w:rsidR="00B277F6" w:rsidRDefault="00B277F6" w:rsidP="00EF7FB9">
      <w:pPr>
        <w:ind w:firstLine="284"/>
        <w:rPr>
          <w:rFonts w:ascii="Source Han Sans CN Normal" w:eastAsia="Source Han Sans CN Normal" w:hAnsi="Source Han Sans CN Normal" w:cs="Source Han Sans CN Normal"/>
        </w:rPr>
      </w:pPr>
      <w:r>
        <w:rPr>
          <w:rFonts w:ascii="Source Han Sans CN Normal" w:eastAsia="Source Han Sans CN Normal" w:hAnsi="Source Han Sans CN Normal" w:cs="Source Han Sans CN Normal"/>
        </w:rPr>
        <w:t xml:space="preserve">  在土崎港历史传承馆，游客可以浏览卷轴的交互式数字版本，寻找至今仍分布在当地各处的其他遗迹。</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 w:name="Gungsuh">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F6"/>
    <w:rsid w:val="001A5971"/>
    <w:rsid w:val="00625A2B"/>
    <w:rsid w:val="00B277F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F6E7340-FD4C-4A8A-B934-27DC822E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77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77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77F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277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77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77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77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77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77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77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77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77F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77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77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77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77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77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77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77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77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7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77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7F6"/>
    <w:pPr>
      <w:spacing w:before="160"/>
      <w:jc w:val="center"/>
    </w:pPr>
    <w:rPr>
      <w:i/>
      <w:iCs/>
      <w:color w:val="404040" w:themeColor="text1" w:themeTint="BF"/>
    </w:rPr>
  </w:style>
  <w:style w:type="character" w:customStyle="1" w:styleId="a8">
    <w:name w:val="引用文 (文字)"/>
    <w:basedOn w:val="a0"/>
    <w:link w:val="a7"/>
    <w:uiPriority w:val="29"/>
    <w:rsid w:val="00B277F6"/>
    <w:rPr>
      <w:i/>
      <w:iCs/>
      <w:color w:val="404040" w:themeColor="text1" w:themeTint="BF"/>
    </w:rPr>
  </w:style>
  <w:style w:type="paragraph" w:styleId="a9">
    <w:name w:val="List Paragraph"/>
    <w:basedOn w:val="a"/>
    <w:uiPriority w:val="34"/>
    <w:qFormat/>
    <w:rsid w:val="00B277F6"/>
    <w:pPr>
      <w:ind w:left="720"/>
      <w:contextualSpacing/>
    </w:pPr>
  </w:style>
  <w:style w:type="character" w:styleId="21">
    <w:name w:val="Intense Emphasis"/>
    <w:basedOn w:val="a0"/>
    <w:uiPriority w:val="21"/>
    <w:qFormat/>
    <w:rsid w:val="00B277F6"/>
    <w:rPr>
      <w:i/>
      <w:iCs/>
      <w:color w:val="0F4761" w:themeColor="accent1" w:themeShade="BF"/>
    </w:rPr>
  </w:style>
  <w:style w:type="paragraph" w:styleId="22">
    <w:name w:val="Intense Quote"/>
    <w:basedOn w:val="a"/>
    <w:next w:val="a"/>
    <w:link w:val="23"/>
    <w:uiPriority w:val="30"/>
    <w:qFormat/>
    <w:rsid w:val="00B27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77F6"/>
    <w:rPr>
      <w:i/>
      <w:iCs/>
      <w:color w:val="0F4761" w:themeColor="accent1" w:themeShade="BF"/>
    </w:rPr>
  </w:style>
  <w:style w:type="character" w:styleId="24">
    <w:name w:val="Intense Reference"/>
    <w:basedOn w:val="a0"/>
    <w:uiPriority w:val="32"/>
    <w:qFormat/>
    <w:rsid w:val="00B277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2025-08-29T17:28:00Z</dcterms:created>
  <dcterms:modified xsi:type="dcterms:W3CDTF">2025-08-29T17:28:00Z</dcterms:modified>
</cp:coreProperties>
</file>