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9E1" w:rsidRPr="00A55303" w:rsidRDefault="003B09E1" w:rsidP="003B09E1">
      <w:pPr>
        <w:spacing w:line="0" w:lineRule="atLeast"/>
        <w:rPr>
          <w:rFonts w:ascii="Times New Roman" w:eastAsia="Source Han Sans CN Normal" w:hAnsi="Times New Roman"/>
          <w:lang w:eastAsia="zh-CN"/>
        </w:rPr>
      </w:pPr>
      <w:r>
        <w:rPr>
          <w:b/>
        </w:rPr>
        <w:t>山古志</w:t>
      </w:r>
    </w:p>
    <w:p w:rsidR="003B09E1" w:rsidRPr="00A55303" w:rsidRDefault="003B09E1" w:rsidP="003B09E1">
      <w:pPr>
        <w:spacing w:line="0" w:lineRule="atLeast"/>
        <w:rPr>
          <w:rFonts w:ascii="Source Han Sans CN Normal" w:eastAsia="Source Han Sans CN Normal" w:hAnsi="Source Han Sans CN Normal"/>
          <w:lang w:eastAsia="zh-CN"/>
        </w:rPr>
      </w:pPr>
      <w:r/>
    </w:p>
    <w:p w:rsidR="003B09E1" w:rsidRPr="00A55303" w:rsidRDefault="003B09E1" w:rsidP="003B09E1">
      <w:pPr>
        <w:spacing w:line="0" w:lineRule="atLeast"/>
        <w:rPr>
          <w:rFonts w:ascii="Times New Roman" w:eastAsia="Source Han Sans CN Normal" w:hAnsi="Times New Roman"/>
          <w:lang w:eastAsia="zh-CN"/>
        </w:rPr>
      </w:pPr>
      <w:r w:rsidRPr="00A55303">
        <w:rPr>
          <w:rFonts w:ascii="Times New Roman" w:eastAsia="Source Han Sans CN Normal" w:hAnsi="Times New Roman" w:cs="Meiryo UI" w:hint="eastAsia"/>
          <w:lang w:val="zh-CN" w:eastAsia="zh-CN" w:bidi="zh-CN"/>
        </w:rPr>
        <w:t>欢迎来到山古志！</w:t>
      </w:r>
    </w:p>
    <w:p w:rsidR="003B09E1" w:rsidRPr="00A55303" w:rsidRDefault="003B09E1" w:rsidP="003B09E1">
      <w:pPr>
        <w:spacing w:line="0" w:lineRule="atLeast"/>
        <w:rPr>
          <w:rFonts w:ascii="Source Han Sans CN Normal" w:eastAsia="Source Han Sans CN Normal" w:hAnsi="Source Han Sans CN Normal"/>
          <w:lang w:eastAsia="zh-CN"/>
        </w:rPr>
      </w:pPr>
    </w:p>
    <w:p w:rsidR="003B09E1" w:rsidRPr="00A55303" w:rsidRDefault="003B09E1" w:rsidP="003B09E1">
      <w:pPr>
        <w:spacing w:line="0" w:lineRule="atLeast"/>
        <w:rPr>
          <w:rFonts w:ascii="Times New Roman" w:eastAsia="Source Han Sans CN Normal" w:hAnsi="Times New Roman" w:cs="ＭＳ 明朝"/>
          <w:lang w:eastAsia="zh-CN"/>
        </w:rPr>
      </w:pPr>
      <w:r w:rsidRPr="00A55303">
        <w:rPr>
          <w:rFonts w:ascii="Times New Roman" w:eastAsia="Source Han Sans CN Normal" w:hAnsi="Times New Roman" w:cs="Meiryo UI" w:hint="eastAsia"/>
          <w:lang w:val="zh-CN" w:eastAsia="zh-CN" w:bidi="zh-CN"/>
        </w:rPr>
        <w:t xml:space="preserve">　　山古志由</w:t>
      </w:r>
      <w:r w:rsidRPr="00A55303">
        <w:rPr>
          <w:rFonts w:ascii="Times New Roman" w:eastAsia="Source Han Sans CN Normal" w:hAnsi="Times New Roman" w:cs="Meiryo UI" w:hint="eastAsia"/>
          <w:lang w:val="zh-CN" w:eastAsia="zh-CN" w:bidi="zh-CN"/>
        </w:rPr>
        <w:t>14</w:t>
      </w:r>
      <w:r w:rsidRPr="00A55303">
        <w:rPr>
          <w:rFonts w:ascii="Times New Roman" w:eastAsia="Source Han Sans CN Normal" w:hAnsi="Times New Roman" w:cs="Meiryo UI" w:hint="eastAsia"/>
          <w:lang w:val="zh-CN" w:eastAsia="zh-CN" w:bidi="zh-CN"/>
        </w:rPr>
        <w:t>个村落组成，村落周围环绕着树林茂密的群山以及</w:t>
      </w:r>
      <w:r w:rsidRPr="00A55303">
        <w:rPr>
          <w:rFonts w:ascii="Times New Roman" w:eastAsia="Source Han Sans CN Normal" w:hAnsi="Times New Roman" w:cs="Meiryo UI"/>
          <w:lang w:val="zh-CN" w:eastAsia="zh-CN" w:bidi="zh-CN"/>
        </w:rPr>
        <w:t>群山之间的狭窄山谷。人类开始在该地区居住的具体日期不详，但在公元</w:t>
      </w:r>
      <w:r w:rsidRPr="00A55303">
        <w:rPr>
          <w:rFonts w:ascii="Times New Roman" w:eastAsia="Source Han Sans CN Normal" w:hAnsi="Times New Roman" w:cs="Meiryo UI"/>
          <w:lang w:val="zh-CN" w:eastAsia="zh-CN" w:bidi="zh-CN"/>
        </w:rPr>
        <w:t>9</w:t>
      </w:r>
      <w:r w:rsidRPr="00A55303">
        <w:rPr>
          <w:rFonts w:ascii="Times New Roman" w:eastAsia="Source Han Sans CN Normal" w:hAnsi="Times New Roman" w:cs="Meiryo UI"/>
          <w:lang w:val="zh-CN" w:eastAsia="zh-CN" w:bidi="zh-CN"/>
        </w:rPr>
        <w:t>世纪</w:t>
      </w:r>
      <w:r w:rsidRPr="00A55303">
        <w:rPr>
          <w:rFonts w:ascii="Times New Roman" w:eastAsia="Source Han Sans CN Normal" w:hAnsi="Times New Roman" w:cs="Meiryo UI" w:hint="eastAsia"/>
          <w:lang w:val="zh-CN" w:eastAsia="zh-CN" w:bidi="zh-CN"/>
        </w:rPr>
        <w:t>的文献</w:t>
      </w:r>
      <w:r w:rsidRPr="00A55303">
        <w:rPr>
          <w:rFonts w:ascii="Times New Roman" w:eastAsia="Source Han Sans CN Normal" w:hAnsi="Times New Roman" w:cs="Meiryo UI"/>
          <w:lang w:val="zh-CN" w:eastAsia="zh-CN" w:bidi="zh-CN"/>
        </w:rPr>
        <w:t>中记载着</w:t>
      </w:r>
      <w:r w:rsidRPr="00A55303">
        <w:rPr>
          <w:rFonts w:ascii="Source Han Sans CN Normal" w:eastAsia="Source Han Sans CN Normal" w:hAnsi="Source Han Sans CN Normal" w:cs="Meiryo UI"/>
          <w:lang w:val="zh-CN" w:eastAsia="zh-CN" w:bidi="zh-CN"/>
        </w:rPr>
        <w:t>“古志”这</w:t>
      </w:r>
      <w:r w:rsidRPr="00A55303">
        <w:rPr>
          <w:rFonts w:ascii="Times New Roman" w:eastAsia="Source Han Sans CN Normal" w:hAnsi="Times New Roman" w:cs="Meiryo UI"/>
          <w:lang w:val="zh-CN" w:eastAsia="zh-CN" w:bidi="zh-CN"/>
        </w:rPr>
        <w:t>一名字。</w:t>
      </w:r>
      <w:r w:rsidRPr="00A55303">
        <w:rPr>
          <w:rFonts w:ascii="Times New Roman" w:eastAsia="Source Han Sans CN Normal" w:hAnsi="Times New Roman" w:cs="Meiryo UI"/>
          <w:lang w:val="zh-CN" w:eastAsia="zh-CN" w:bidi="zh-CN"/>
        </w:rPr>
        <w:t>1618</w:t>
      </w:r>
      <w:r w:rsidRPr="00A55303">
        <w:rPr>
          <w:rFonts w:ascii="Times New Roman" w:eastAsia="Source Han Sans CN Normal" w:hAnsi="Times New Roman" w:cs="Meiryo UI"/>
          <w:lang w:val="zh-CN" w:eastAsia="zh-CN" w:bidi="zh-CN"/>
        </w:rPr>
        <w:t>年，该地区被并入新设立的长冈藩，众多小村庄最终被统</w:t>
      </w:r>
      <w:r w:rsidRPr="00A55303">
        <w:rPr>
          <w:rFonts w:ascii="Source Han Sans CN Normal" w:eastAsia="Source Han Sans CN Normal" w:hAnsi="Source Han Sans CN Normal" w:cs="Meiryo UI"/>
          <w:lang w:val="zh-CN" w:eastAsia="zh-CN" w:bidi="zh-CN"/>
        </w:rPr>
        <w:t>称为“山古志之村”。</w:t>
      </w:r>
      <w:r w:rsidRPr="00A55303">
        <w:rPr>
          <w:rFonts w:ascii="Times New Roman" w:eastAsia="Source Han Sans CN Normal" w:hAnsi="Times New Roman" w:cs="Meiryo UI"/>
          <w:lang w:val="zh-CN" w:eastAsia="zh-CN" w:bidi="zh-CN"/>
        </w:rPr>
        <w:t>19</w:t>
      </w:r>
      <w:r w:rsidRPr="00A55303">
        <w:rPr>
          <w:rFonts w:ascii="Times New Roman" w:eastAsia="Source Han Sans CN Normal" w:hAnsi="Times New Roman" w:cs="Meiryo UI"/>
          <w:lang w:val="zh-CN" w:eastAsia="zh-CN" w:bidi="zh-CN"/>
        </w:rPr>
        <w:t>世纪末，明治政府</w:t>
      </w:r>
      <w:r w:rsidRPr="00A55303">
        <w:rPr>
          <w:rFonts w:ascii="Times New Roman" w:eastAsia="Source Han Sans CN Normal" w:hAnsi="Times New Roman" w:cs="Meiryo UI" w:hint="eastAsia"/>
          <w:lang w:val="zh-CN" w:eastAsia="zh-CN" w:bidi="zh-CN"/>
        </w:rPr>
        <w:t>实行新的市町村制度</w:t>
      </w:r>
      <w:r w:rsidRPr="00A55303">
        <w:rPr>
          <w:rFonts w:ascii="Times New Roman" w:eastAsia="Source Han Sans CN Normal" w:hAnsi="Times New Roman" w:cs="Meiryo UI"/>
          <w:lang w:val="zh-CN" w:eastAsia="zh-CN" w:bidi="zh-CN"/>
        </w:rPr>
        <w:t>时，该地区正式</w:t>
      </w:r>
      <w:r w:rsidRPr="00A55303">
        <w:rPr>
          <w:rFonts w:ascii="Times New Roman" w:eastAsia="Source Han Sans CN Normal" w:hAnsi="Times New Roman" w:cs="Meiryo UI" w:hint="eastAsia"/>
          <w:lang w:val="zh-CN" w:eastAsia="zh-CN" w:bidi="zh-CN"/>
        </w:rPr>
        <w:t>合并</w:t>
      </w:r>
      <w:r w:rsidRPr="00A55303">
        <w:rPr>
          <w:rFonts w:ascii="Times New Roman" w:eastAsia="Source Han Sans CN Normal" w:hAnsi="Times New Roman" w:cs="Meiryo UI"/>
          <w:lang w:val="zh-CN" w:eastAsia="zh-CN" w:bidi="zh-CN"/>
        </w:rPr>
        <w:t>为一个村庄。</w:t>
      </w:r>
    </w:p>
    <w:p w:rsidR="003B09E1" w:rsidRPr="00A55303" w:rsidRDefault="003B09E1" w:rsidP="003B09E1">
      <w:pPr>
        <w:spacing w:line="0" w:lineRule="atLeast"/>
        <w:rPr>
          <w:rFonts w:ascii="Source Han Sans CN Normal" w:eastAsia="Source Han Sans CN Normal" w:hAnsi="Source Han Sans CN Normal" w:cs="ＭＳ 明朝"/>
          <w:lang w:eastAsia="zh-CN"/>
        </w:rPr>
      </w:pPr>
    </w:p>
    <w:p w:rsidR="003B09E1" w:rsidRPr="00A55303" w:rsidRDefault="003B09E1" w:rsidP="003B09E1">
      <w:pPr>
        <w:spacing w:line="0" w:lineRule="atLeast"/>
        <w:rPr>
          <w:rFonts w:ascii="Source Han Sans CN Normal" w:eastAsia="Source Han Sans CN Normal" w:hAnsi="Source Han Sans CN Normal"/>
          <w:lang w:eastAsia="zh-CN"/>
        </w:rPr>
      </w:pPr>
      <w:r w:rsidRPr="00A55303">
        <w:rPr>
          <w:rFonts w:ascii="Times New Roman" w:eastAsia="Source Han Sans CN Normal" w:hAnsi="Times New Roman" w:cs="Meiryo UI" w:hint="eastAsia"/>
          <w:lang w:val="zh-CN" w:eastAsia="zh-CN" w:bidi="zh-CN"/>
        </w:rPr>
        <w:t xml:space="preserve">　　山古志各个村落的名字代表着建立该村落的家族、起源或特点。其中包</w:t>
      </w:r>
      <w:r w:rsidRPr="00A55303">
        <w:rPr>
          <w:rFonts w:ascii="Source Han Sans CN Normal" w:eastAsia="Source Han Sans CN Normal" w:hAnsi="Source Han Sans CN Normal" w:cs="Meiryo UI" w:hint="eastAsia"/>
          <w:lang w:val="zh-CN" w:eastAsia="zh-CN" w:bidi="zh-CN"/>
        </w:rPr>
        <w:t>括“许多橡树”、“菖蒲花盛开之时”和“制油的丈夫”等含义的村名。村落相对孤立，因此居民得以将独特的传统习俗与仪式代代相传保留至今</w:t>
      </w:r>
      <w:r w:rsidRPr="00A55303">
        <w:rPr>
          <w:rFonts w:ascii="Source Han Sans CN Normal" w:eastAsia="Source Han Sans CN Normal" w:hAnsi="Source Han Sans CN Normal" w:cs="ＭＳ 明朝" w:hint="eastAsia"/>
          <w:lang w:val="zh-CN" w:eastAsia="zh-CN" w:bidi="zh-CN"/>
        </w:rPr>
        <w:t>。</w:t>
      </w:r>
    </w:p>
    <w:p w:rsidR="003B09E1" w:rsidRPr="00A55303" w:rsidRDefault="003B09E1" w:rsidP="003B09E1">
      <w:pPr>
        <w:spacing w:line="0" w:lineRule="atLeast"/>
        <w:rPr>
          <w:rFonts w:ascii="Source Han Sans CN Normal" w:eastAsia="Source Han Sans CN Normal" w:hAnsi="Source Han Sans CN Normal" w:cs="ＭＳ 明朝"/>
          <w:lang w:eastAsia="zh-CN"/>
        </w:rPr>
      </w:pPr>
    </w:p>
    <w:p w:rsidR="003B09E1" w:rsidRPr="00A55303" w:rsidRDefault="003B09E1" w:rsidP="003B09E1">
      <w:pPr>
        <w:spacing w:line="0" w:lineRule="atLeast"/>
        <w:rPr>
          <w:rFonts w:ascii="Times New Roman" w:eastAsia="Source Han Sans CN Normal" w:hAnsi="Times New Roman"/>
          <w:lang w:eastAsia="zh-CN"/>
        </w:rPr>
      </w:pPr>
      <w:r w:rsidRPr="00A55303">
        <w:rPr>
          <w:rFonts w:ascii="Times New Roman" w:eastAsia="Source Han Sans CN Normal" w:hAnsi="Times New Roman" w:cs="Meiryo UI" w:hint="eastAsia"/>
          <w:lang w:val="zh-CN" w:eastAsia="zh-CN" w:bidi="zh-CN"/>
        </w:rPr>
        <w:t xml:space="preserve">　　从</w:t>
      </w:r>
      <w:r w:rsidRPr="00A55303">
        <w:rPr>
          <w:rFonts w:ascii="Times New Roman" w:eastAsia="Source Han Sans CN Normal" w:hAnsi="Times New Roman" w:cs="Meiryo UI" w:hint="eastAsia"/>
          <w:lang w:val="zh-CN" w:eastAsia="zh-CN" w:bidi="zh-CN"/>
        </w:rPr>
        <w:t>17</w:t>
      </w:r>
      <w:r w:rsidRPr="00A55303">
        <w:rPr>
          <w:rFonts w:ascii="Times New Roman" w:eastAsia="Source Han Sans CN Normal" w:hAnsi="Times New Roman" w:cs="Meiryo UI" w:hint="eastAsia"/>
          <w:lang w:val="zh-CN" w:eastAsia="zh-CN" w:bidi="zh-CN"/>
        </w:rPr>
        <w:t>世纪到</w:t>
      </w:r>
      <w:r w:rsidRPr="00A55303">
        <w:rPr>
          <w:rFonts w:ascii="Times New Roman" w:eastAsia="Source Han Sans CN Normal" w:hAnsi="Times New Roman" w:cs="Meiryo UI" w:hint="eastAsia"/>
          <w:lang w:val="zh-CN" w:eastAsia="zh-CN" w:bidi="zh-CN"/>
        </w:rPr>
        <w:t>19</w:t>
      </w:r>
      <w:r w:rsidRPr="00A55303">
        <w:rPr>
          <w:rFonts w:ascii="Times New Roman" w:eastAsia="Source Han Sans CN Normal" w:hAnsi="Times New Roman" w:cs="Meiryo UI" w:hint="eastAsia"/>
          <w:lang w:val="zh-CN" w:eastAsia="zh-CN" w:bidi="zh-CN"/>
        </w:rPr>
        <w:t>世纪，大多居民主要从事农业。他们在山的陡坡面上的梯田处种植水稻，在梯塘里饲养鲤鱼。直至今日，农户和鲤鱼养殖业者仍然努力维持和保护着这片环境。色彩绚烂的夕阳映在水面的初夏、被雾气笼罩的清晨群山风景让人尤为刻骨铭心。</w:t>
      </w:r>
    </w:p>
    <w:p w:rsidR="003B09E1" w:rsidRPr="00A55303" w:rsidRDefault="003B09E1" w:rsidP="003B09E1">
      <w:pPr>
        <w:spacing w:line="0" w:lineRule="atLeast"/>
        <w:rPr>
          <w:rFonts w:ascii="Source Han Sans CN Normal" w:eastAsia="Source Han Sans CN Normal" w:hAnsi="Source Han Sans CN Normal"/>
          <w:lang w:eastAsia="zh-CN"/>
        </w:rPr>
      </w:pPr>
    </w:p>
    <w:p w:rsidR="003B09E1" w:rsidRPr="00A55303" w:rsidRDefault="003B09E1" w:rsidP="003B09E1">
      <w:pPr>
        <w:pStyle w:val="Web"/>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Meiryo UI" w:hint="eastAsia"/>
          <w:sz w:val="22"/>
          <w:szCs w:val="22"/>
          <w:lang w:val="zh-CN" w:eastAsia="zh-CN" w:bidi="zh-CN"/>
        </w:rPr>
        <w:t xml:space="preserve">　　山古志的大多传统房屋内建有饲养家畜的屋内马厩。由于山古志的斜坡陡峭，牛比马更适合耕作和运输。当不将这些动物用于插秧或收割作物时，便会发挥它们的娱乐作用。公牛会在名为</w:t>
      </w:r>
      <w:r w:rsidRPr="00A55303">
        <w:rPr>
          <w:rFonts w:ascii="Source Han Sans CN Normal" w:eastAsia="Source Han Sans CN Normal" w:hAnsi="Source Han Sans CN Normal" w:cs="Meiryo UI" w:hint="eastAsia"/>
          <w:sz w:val="22"/>
          <w:szCs w:val="22"/>
          <w:lang w:val="zh-CN" w:eastAsia="zh-CN" w:bidi="zh-CN"/>
        </w:rPr>
        <w:t>“牛角撞击”的</w:t>
      </w:r>
      <w:r w:rsidRPr="00A55303">
        <w:rPr>
          <w:rFonts w:eastAsia="Source Han Sans CN Normal" w:cs="Meiryo UI" w:hint="eastAsia"/>
          <w:sz w:val="22"/>
          <w:szCs w:val="22"/>
          <w:lang w:val="zh-CN" w:eastAsia="zh-CN" w:bidi="zh-CN"/>
        </w:rPr>
        <w:t>比赛中较量力气。与其他斗牛不同，牛角撞击是一旦两头公牛展现出自身力量时即为平局。这是因为公牛严重受伤后将无法工作，且若明确分出赢家和输家</w:t>
      </w:r>
      <w:r w:rsidRPr="00A55303">
        <w:rPr>
          <w:rFonts w:eastAsia="Source Han Sans CN Normal" w:cs="ＭＳ 明朝" w:hint="eastAsia"/>
          <w:sz w:val="22"/>
          <w:szCs w:val="22"/>
          <w:lang w:val="zh-CN" w:eastAsia="zh-CN" w:bidi="zh-CN"/>
        </w:rPr>
        <w:t>，可能会引发村民之间的不良情绪。目前，日本仅剩</w:t>
      </w:r>
      <w:r w:rsidRPr="00A55303">
        <w:rPr>
          <w:rFonts w:eastAsia="Source Han Sans CN Normal" w:cs="ＭＳ 明朝" w:hint="eastAsia"/>
          <w:sz w:val="22"/>
          <w:szCs w:val="22"/>
          <w:lang w:val="zh-CN" w:eastAsia="zh-CN" w:bidi="zh-CN"/>
        </w:rPr>
        <w:t>9</w:t>
      </w:r>
      <w:r w:rsidRPr="00A55303">
        <w:rPr>
          <w:rFonts w:eastAsia="Source Han Sans CN Normal" w:cs="ＭＳ 明朝" w:hint="eastAsia"/>
          <w:sz w:val="22"/>
          <w:szCs w:val="22"/>
          <w:lang w:val="zh-CN" w:eastAsia="zh-CN" w:bidi="zh-CN"/>
        </w:rPr>
        <w:t>处保留斗牛文化的地方，山古志就是其中一处。</w:t>
      </w:r>
    </w:p>
    <w:p w:rsidR="003B09E1" w:rsidRPr="00A55303" w:rsidRDefault="003B09E1" w:rsidP="003B09E1">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p>
    <w:p w:rsidR="003B09E1" w:rsidRPr="00A55303" w:rsidRDefault="003B09E1" w:rsidP="003B09E1">
      <w:pPr>
        <w:pStyle w:val="Web"/>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ＭＳ 明朝" w:hint="eastAsia"/>
          <w:sz w:val="22"/>
          <w:szCs w:val="22"/>
          <w:lang w:val="zh-CN" w:eastAsia="zh-CN" w:bidi="zh-CN"/>
        </w:rPr>
        <w:t xml:space="preserve">　　另一个延续至今的传统产业是繁育名为锦鲤的观赏鲤鱼。这种色彩斑斓的鱼也被称为</w:t>
      </w:r>
      <w:r w:rsidRPr="00A55303">
        <w:rPr>
          <w:rFonts w:ascii="Source Han Sans CN Normal" w:eastAsia="Source Han Sans CN Normal" w:hAnsi="Source Han Sans CN Normal" w:cs="ＭＳ 明朝" w:hint="eastAsia"/>
          <w:sz w:val="22"/>
          <w:szCs w:val="22"/>
          <w:lang w:val="zh-CN" w:eastAsia="zh-CN" w:bidi="zh-CN"/>
        </w:rPr>
        <w:t>“活宝石”。</w:t>
      </w:r>
      <w:r w:rsidRPr="00A55303">
        <w:rPr>
          <w:rFonts w:eastAsia="Source Han Sans CN Normal" w:cs="ＭＳ 明朝" w:hint="eastAsia"/>
          <w:sz w:val="22"/>
          <w:szCs w:val="22"/>
          <w:lang w:val="zh-CN" w:eastAsia="zh-CN" w:bidi="zh-CN"/>
        </w:rPr>
        <w:t>过去，人们养殖黑鲤鱼作为食物。山古志地处暴雪地带，一到冬季，交通常被封锁，有时甚至无法离开该地区。因此人们开始在冬季饲养黑鲤鱼作为宝贵的蛋白质来源。鱼被放入稻田，与水稻一起生长，长大后再被移到专门的梯塘内。在冬季大雪降临之前，会将它们移到家庭池塘，作为冬季的蛋白质来源。</w:t>
      </w:r>
      <w:r w:rsidRPr="00A55303">
        <w:rPr>
          <w:rFonts w:eastAsia="Source Han Sans CN Normal" w:cs="ＭＳ 明朝" w:hint="eastAsia"/>
          <w:sz w:val="22"/>
          <w:szCs w:val="22"/>
          <w:lang w:val="zh-CN" w:eastAsia="zh-CN" w:bidi="zh-CN"/>
        </w:rPr>
        <w:t>19</w:t>
      </w:r>
      <w:r w:rsidRPr="00A55303">
        <w:rPr>
          <w:rFonts w:eastAsia="Source Han Sans CN Normal" w:cs="ＭＳ 明朝" w:hint="eastAsia"/>
          <w:sz w:val="22"/>
          <w:szCs w:val="22"/>
          <w:lang w:val="zh-CN" w:eastAsia="zh-CN" w:bidi="zh-CN"/>
        </w:rPr>
        <w:t>世纪初期，人们开始以观赏为目的饲养鱼类，契机是当时人们发现了一种因黑鲤鱼突然变异而出现的红色花纹鲤鱼。此后，经过反复尝试、不断改良，培育出了约达</w:t>
      </w:r>
      <w:r w:rsidRPr="00A55303">
        <w:rPr>
          <w:rFonts w:eastAsia="Source Han Sans CN Normal" w:cs="ＭＳ 明朝" w:hint="eastAsia"/>
          <w:sz w:val="22"/>
          <w:szCs w:val="22"/>
          <w:lang w:val="zh-CN" w:eastAsia="zh-CN" w:bidi="zh-CN"/>
        </w:rPr>
        <w:t>100</w:t>
      </w:r>
      <w:r w:rsidRPr="00A55303">
        <w:rPr>
          <w:rFonts w:eastAsia="Source Han Sans CN Normal" w:cs="ＭＳ 明朝" w:hint="eastAsia"/>
          <w:sz w:val="22"/>
          <w:szCs w:val="22"/>
          <w:lang w:val="zh-CN" w:eastAsia="zh-CN" w:bidi="zh-CN"/>
        </w:rPr>
        <w:t>种不同品种的美丽锦鲤。长冈市有</w:t>
      </w:r>
      <w:r w:rsidRPr="00A55303">
        <w:rPr>
          <w:rFonts w:eastAsia="Source Han Sans CN Normal" w:cs="ＭＳ 明朝" w:hint="eastAsia"/>
          <w:sz w:val="22"/>
          <w:szCs w:val="22"/>
          <w:lang w:val="zh-CN" w:eastAsia="zh-CN" w:bidi="zh-CN"/>
        </w:rPr>
        <w:t>150</w:t>
      </w:r>
      <w:r w:rsidRPr="00A55303">
        <w:rPr>
          <w:rFonts w:eastAsia="Source Han Sans CN Normal" w:cs="ＭＳ 明朝" w:hint="eastAsia"/>
          <w:sz w:val="22"/>
          <w:szCs w:val="22"/>
          <w:lang w:val="zh-CN" w:eastAsia="zh-CN" w:bidi="zh-CN"/>
        </w:rPr>
        <w:t>家商业和业余饲养员在营业，其中约</w:t>
      </w:r>
      <w:r w:rsidRPr="00A55303">
        <w:rPr>
          <w:rFonts w:eastAsia="Source Han Sans CN Normal" w:cs="ＭＳ 明朝" w:hint="eastAsia"/>
          <w:sz w:val="22"/>
          <w:szCs w:val="22"/>
          <w:lang w:val="zh-CN" w:eastAsia="zh-CN" w:bidi="zh-CN"/>
        </w:rPr>
        <w:t>90</w:t>
      </w:r>
      <w:r w:rsidRPr="00A55303">
        <w:rPr>
          <w:rFonts w:eastAsia="Source Han Sans CN Normal" w:cs="ＭＳ 明朝" w:hint="eastAsia"/>
          <w:sz w:val="22"/>
          <w:szCs w:val="22"/>
          <w:lang w:val="zh-CN" w:eastAsia="zh-CN" w:bidi="zh-CN"/>
        </w:rPr>
        <w:t>家位于山古志，它也被称为</w:t>
      </w:r>
      <w:r w:rsidRPr="00A55303">
        <w:rPr>
          <w:rFonts w:ascii="Source Han Sans CN Normal" w:eastAsia="Source Han Sans CN Normal" w:hAnsi="Source Han Sans CN Normal" w:cs="ＭＳ 明朝" w:hint="eastAsia"/>
          <w:sz w:val="22"/>
          <w:szCs w:val="22"/>
          <w:lang w:val="zh-CN" w:eastAsia="zh-CN" w:bidi="zh-CN"/>
        </w:rPr>
        <w:t>“日本锦鲤的发祥地”。</w:t>
      </w:r>
    </w:p>
    <w:p w:rsidR="003B09E1" w:rsidRPr="00A55303" w:rsidRDefault="003B09E1" w:rsidP="003B09E1">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p>
    <w:p w:rsidR="003B09E1" w:rsidRPr="00A55303" w:rsidRDefault="003B09E1" w:rsidP="003B09E1">
      <w:pPr>
        <w:pStyle w:val="Web"/>
        <w:spacing w:before="0" w:beforeAutospacing="0" w:after="0" w:afterAutospacing="0" w:line="0" w:lineRule="atLeast"/>
        <w:rPr>
          <w:rFonts w:eastAsia="Source Han Sans CN Normal" w:cs="ＭＳ 明朝"/>
          <w:sz w:val="22"/>
          <w:szCs w:val="22"/>
          <w:lang w:val="zh-CN" w:eastAsia="zh-CN" w:bidi="zh-CN"/>
        </w:rPr>
      </w:pPr>
      <w:r w:rsidRPr="00A55303">
        <w:rPr>
          <w:rFonts w:eastAsia="Source Han Sans CN Normal" w:cs="ＭＳ 明朝" w:hint="eastAsia"/>
          <w:sz w:val="22"/>
          <w:szCs w:val="22"/>
          <w:lang w:val="zh-CN" w:eastAsia="zh-CN" w:bidi="zh-CN"/>
        </w:rPr>
        <w:t xml:space="preserve">　　在这个风光明媚的山村漫步时，请务必留意分布在景点中的多处鲤鱼池、牛棚、梯田和梯塘。它们代表着历经几世纪传承下来的传统以及山古志为了实现永远美丽、充满活力的生活所采取的现代措施。</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E1"/>
    <w:rsid w:val="001A5971"/>
    <w:rsid w:val="003B09E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ADC1BF-B275-4E71-AA74-6995F758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9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09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09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09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09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09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09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09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09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09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09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09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09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09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09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09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09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09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0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0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0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9E1"/>
    <w:pPr>
      <w:spacing w:before="160"/>
      <w:jc w:val="center"/>
    </w:pPr>
    <w:rPr>
      <w:i/>
      <w:iCs/>
      <w:color w:val="404040" w:themeColor="text1" w:themeTint="BF"/>
    </w:rPr>
  </w:style>
  <w:style w:type="character" w:customStyle="1" w:styleId="a8">
    <w:name w:val="引用文 (文字)"/>
    <w:basedOn w:val="a0"/>
    <w:link w:val="a7"/>
    <w:uiPriority w:val="29"/>
    <w:rsid w:val="003B09E1"/>
    <w:rPr>
      <w:i/>
      <w:iCs/>
      <w:color w:val="404040" w:themeColor="text1" w:themeTint="BF"/>
    </w:rPr>
  </w:style>
  <w:style w:type="paragraph" w:styleId="a9">
    <w:name w:val="List Paragraph"/>
    <w:basedOn w:val="a"/>
    <w:uiPriority w:val="34"/>
    <w:qFormat/>
    <w:rsid w:val="003B09E1"/>
    <w:pPr>
      <w:ind w:left="720"/>
      <w:contextualSpacing/>
    </w:pPr>
  </w:style>
  <w:style w:type="character" w:styleId="21">
    <w:name w:val="Intense Emphasis"/>
    <w:basedOn w:val="a0"/>
    <w:uiPriority w:val="21"/>
    <w:qFormat/>
    <w:rsid w:val="003B09E1"/>
    <w:rPr>
      <w:i/>
      <w:iCs/>
      <w:color w:val="0F4761" w:themeColor="accent1" w:themeShade="BF"/>
    </w:rPr>
  </w:style>
  <w:style w:type="paragraph" w:styleId="22">
    <w:name w:val="Intense Quote"/>
    <w:basedOn w:val="a"/>
    <w:next w:val="a"/>
    <w:link w:val="23"/>
    <w:uiPriority w:val="30"/>
    <w:qFormat/>
    <w:rsid w:val="003B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09E1"/>
    <w:rPr>
      <w:i/>
      <w:iCs/>
      <w:color w:val="0F4761" w:themeColor="accent1" w:themeShade="BF"/>
    </w:rPr>
  </w:style>
  <w:style w:type="character" w:styleId="24">
    <w:name w:val="Intense Reference"/>
    <w:basedOn w:val="a0"/>
    <w:uiPriority w:val="32"/>
    <w:qFormat/>
    <w:rsid w:val="003B09E1"/>
    <w:rPr>
      <w:b/>
      <w:bCs/>
      <w:smallCaps/>
      <w:color w:val="0F4761" w:themeColor="accent1" w:themeShade="BF"/>
      <w:spacing w:val="5"/>
    </w:rPr>
  </w:style>
  <w:style w:type="paragraph" w:styleId="Web">
    <w:name w:val="Normal (Web)"/>
    <w:basedOn w:val="a"/>
    <w:uiPriority w:val="99"/>
    <w:unhideWhenUsed/>
    <w:rsid w:val="003B09E1"/>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