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75F" w:rsidRPr="00B644ED" w:rsidRDefault="006C475F" w:rsidP="006C475F">
      <w:pPr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>
        <w:rPr>
          <w:b/>
        </w:rPr>
        <w:t>水泽县厅记念馆</w:t>
      </w:r>
    </w:p>
    <w:p/>
    <w:p w:rsidR="006C475F" w:rsidRPr="00B644ED" w:rsidRDefault="006C475F" w:rsidP="006C475F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这座建筑于</w:t>
      </w:r>
      <w:r w:rsidRPr="006C1204">
        <w:rPr>
          <w:rFonts w:asciiTheme="majorBidi" w:eastAsia="Source Han Sans CN Normal" w:hAnsiTheme="majorBidi" w:cstheme="majorBidi"/>
          <w:lang w:val="zh-CN" w:eastAsia="zh-CN" w:bidi="zh-CN"/>
        </w:rPr>
        <w:t>1872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</w:t>
      </w:r>
      <w:r w:rsidRPr="006C1204">
        <w:rPr>
          <w:rFonts w:asciiTheme="majorBidi" w:eastAsia="Source Han Sans CN Normal" w:hAnsiTheme="majorBidi" w:cstheme="majorBidi"/>
          <w:lang w:val="zh-CN" w:eastAsia="zh-CN" w:bidi="zh-CN"/>
        </w:rPr>
        <w:t>6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月作为水泽县（当时的登米市所在县）政府办公楼启用，但这个角色仅持续了</w:t>
      </w:r>
      <w:r w:rsidRPr="006C1204">
        <w:rPr>
          <w:rFonts w:asciiTheme="majorBidi" w:eastAsia="Source Han Sans CN Normal" w:hAnsiTheme="majorBidi" w:cstheme="majorBidi"/>
          <w:lang w:val="zh-CN" w:eastAsia="zh-CN" w:bidi="zh-CN"/>
        </w:rPr>
        <w:t>3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年。</w:t>
      </w:r>
      <w:r w:rsidRPr="000A31D0">
        <w:rPr>
          <w:rFonts w:ascii="Source Han Sans CN Normal" w:eastAsia="Source Han Sans CN Normal" w:hAnsi="Source Han Sans CN Normal" w:hint="eastAsia"/>
          <w:lang w:val="zh-CN" w:eastAsia="zh-CN" w:bidi="zh-CN"/>
        </w:rPr>
        <w:t>水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泽县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划定于</w:t>
      </w:r>
      <w:r w:rsidRPr="000A31D0">
        <w:rPr>
          <w:rFonts w:ascii="Source Han Sans CN Normal" w:eastAsia="Source Han Sans CN Normal" w:hAnsi="Source Han Sans CN Normal"/>
          <w:lang w:val="zh-CN" w:eastAsia="zh-CN" w:bidi="zh-CN"/>
        </w:rPr>
        <w:t>1871年12月，但当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日本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县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制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于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变动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之</w:t>
      </w:r>
      <w:r w:rsidRPr="000A31D0">
        <w:rPr>
          <w:rFonts w:ascii="Source Han Sans CN Normal" w:eastAsia="Source Han Sans CN Normal" w:hAnsi="Source Han Sans CN Normal" w:hint="eastAsia"/>
          <w:lang w:val="zh-CN" w:eastAsia="zh-CN" w:bidi="zh-CN"/>
        </w:rPr>
        <w:t>中，因此短短</w:t>
      </w:r>
      <w:r w:rsidRPr="000A31D0">
        <w:rPr>
          <w:rFonts w:ascii="Source Han Sans CN Normal" w:eastAsia="Source Han Sans CN Normal" w:hAnsi="Source Han Sans CN Normal"/>
          <w:lang w:val="zh-CN" w:eastAsia="zh-CN" w:bidi="zh-CN"/>
        </w:rPr>
        <w:t>5年后水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泽县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便被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废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除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。</w:t>
      </w:r>
    </w:p>
    <w:p w:rsidR="006C475F" w:rsidRPr="000A31D0" w:rsidRDefault="006C475F" w:rsidP="006C475F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6C475F" w:rsidRPr="00B644ED" w:rsidRDefault="006C475F" w:rsidP="006C475F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在作为县办公楼的短暂历史结束后，这座建筑</w:t>
      </w:r>
      <w:r>
        <w:rPr>
          <w:rFonts w:ascii="Source Han Sans CN Normal" w:eastAsia="Source Han Sans CN Normal" w:hAnsi="Source Han Sans CN Normal" w:hint="eastAsia"/>
          <w:lang w:val="zh-CN" w:eastAsia="zh-CN" w:bidi="zh-CN"/>
        </w:rPr>
        <w:t>又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被用于多种用途。</w:t>
      </w:r>
      <w:r w:rsidRPr="006C1204">
        <w:rPr>
          <w:rFonts w:asciiTheme="majorBidi" w:eastAsia="Source Han Sans CN Normal" w:hAnsiTheme="majorBidi" w:cstheme="majorBidi"/>
          <w:lang w:val="zh-CN" w:eastAsia="zh-CN" w:bidi="zh-CN"/>
        </w:rPr>
        <w:t>1889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年，它成为石卷（宫城县地名）治安法院的分支机构，负责处理土地和财产相关事务。</w:t>
      </w:r>
      <w:r w:rsidRPr="006C1204">
        <w:rPr>
          <w:rFonts w:asciiTheme="majorBidi" w:eastAsia="Source Han Sans CN Normal" w:hAnsiTheme="majorBidi" w:cstheme="majorBidi"/>
          <w:lang w:val="zh-CN" w:eastAsia="zh-CN" w:bidi="zh-CN"/>
        </w:rPr>
        <w:t>1989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年重建时，是以当时的外观为蓝本建造的。重建后在内部添加了后来的宫城县政府的家具，以展示当时流行的司法和行政建筑风格。</w:t>
      </w:r>
    </w:p>
    <w:p w:rsidR="006C475F" w:rsidRPr="00B644ED" w:rsidRDefault="006C475F" w:rsidP="006C475F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6C475F" w:rsidRPr="00B644ED" w:rsidRDefault="006C475F" w:rsidP="006C475F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建筑入口采用纯日式风格，配有山形屋顶和格子窗。不过，建筑的其余部分则融入了明治时代政府办公楼常见的西式建筑风格，为木结构单层建筑。馆内通过展品、纪念品和老照片向游客诉说这座建筑</w:t>
      </w:r>
      <w:r w:rsidRPr="000A31D0">
        <w:rPr>
          <w:rFonts w:ascii="Source Han Sans CN Normal" w:eastAsia="Source Han Sans CN Normal" w:hAnsi="Source Han Sans CN Normal" w:hint="eastAsia"/>
          <w:lang w:val="zh-CN" w:eastAsia="zh-CN" w:bidi="zh-CN"/>
        </w:rPr>
        <w:t>当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的运作情况。还复原了原来的部分房间，比如法庭和市民提交文件的行政办公室。当时的市民站在相邻的等候室，而办事员则跪坐在西式房间里的较高位置，透过窗口与市民沟通。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5F"/>
    <w:rsid w:val="001A5971"/>
    <w:rsid w:val="00625A2B"/>
    <w:rsid w:val="006C475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0CB38-0112-46B2-9B3E-9EA93623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7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7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7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