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9CE" w:rsidRPr="00C05703" w:rsidRDefault="005219CE" w:rsidP="005219CE">
      <w:pPr>
        <w:tabs>
          <w:tab w:val="left" w:pos="2977"/>
        </w:tabs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미이케 탄광 철도</w:t>
      </w:r>
    </w:p>
    <w:p/>
    <w:p w:rsidR="005219CE" w:rsidRPr="00C05703" w:rsidRDefault="005219CE" w:rsidP="005219CE">
      <w:pPr>
        <w:tabs>
          <w:tab w:val="left" w:pos="2977"/>
        </w:tabs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미이케 </w:t>
      </w:r>
      <w:r>
        <w:rPr>
          <w:rFonts w:ascii="Batang" w:eastAsia="Batang" w:hAnsi="Batang" w:hint="eastAsia"/>
          <w:szCs w:val="21"/>
          <w:lang w:eastAsia="ko-KR"/>
        </w:rPr>
        <w:t xml:space="preserve">탄광 </w:t>
      </w:r>
      <w:r w:rsidRPr="00C05703">
        <w:rPr>
          <w:rFonts w:ascii="Batang" w:eastAsia="Batang" w:hAnsi="Batang" w:hint="eastAsia"/>
          <w:szCs w:val="21"/>
          <w:lang w:eastAsia="ko-KR"/>
        </w:rPr>
        <w:t>철도의 첫 번째 노선은 1878년에 2.7km 떨어진 오우라</w:t>
      </w:r>
      <w:r>
        <w:rPr>
          <w:rFonts w:ascii="Batang" w:eastAsia="Batang" w:hAnsi="Batang" w:hint="eastAsia"/>
          <w:szCs w:val="21"/>
          <w:lang w:eastAsia="ko-KR"/>
        </w:rPr>
        <w:t xml:space="preserve"> 갱도</w:t>
      </w:r>
      <w:r>
        <w:rPr>
          <w:rFonts w:ascii="Batang" w:eastAsia="Batang" w:hAnsi="Batang"/>
          <w:szCs w:val="21"/>
          <w:lang w:eastAsia="ko-KR"/>
        </w:rPr>
        <w:t>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오무타</w:t>
      </w:r>
      <w:r>
        <w:rPr>
          <w:rFonts w:ascii="Batang" w:eastAsia="Batang" w:hAnsi="Batang" w:hint="eastAsia"/>
          <w:szCs w:val="21"/>
          <w:lang w:eastAsia="ko-KR"/>
        </w:rPr>
        <w:t xml:space="preserve">가와 </w:t>
      </w:r>
      <w:r w:rsidRPr="00C05703">
        <w:rPr>
          <w:rFonts w:ascii="Batang" w:eastAsia="Batang" w:hAnsi="Batang" w:hint="eastAsia"/>
          <w:szCs w:val="21"/>
          <w:lang w:eastAsia="ko-KR"/>
        </w:rPr>
        <w:t>강 사이에 설치되었습니다. 증기 기관차가 도입된 1891년 전에는 말이 열차를 끌었습니다. 1905년에 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항까지 노선이 연장되었고, 이 노선은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>과 해안 사이에 있는 구릉 지</w:t>
      </w:r>
      <w:r>
        <w:rPr>
          <w:rFonts w:ascii="Batang" w:eastAsia="Batang" w:hAnsi="Batang" w:hint="eastAsia"/>
          <w:szCs w:val="21"/>
          <w:lang w:eastAsia="ko-KR"/>
        </w:rPr>
        <w:t>대를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가로질렀습니다. 1923년에</w:t>
      </w:r>
      <w:r>
        <w:rPr>
          <w:rFonts w:ascii="Batang" w:eastAsia="Batang" w:hAnsi="Batang" w:hint="eastAsia"/>
          <w:szCs w:val="21"/>
          <w:lang w:eastAsia="ko-KR"/>
        </w:rPr>
        <w:t>는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전면 전기화되었습니다. 1964년부터 1984년까지 이 철도는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노동자와 다른 통근</w:t>
      </w:r>
      <w:r>
        <w:rPr>
          <w:rFonts w:ascii="Batang" w:eastAsia="Batang" w:hAnsi="Batang" w:hint="eastAsia"/>
          <w:szCs w:val="21"/>
          <w:lang w:eastAsia="ko-KR"/>
        </w:rPr>
        <w:t>객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들을 수송하는 데 사용되었습니다. </w:t>
      </w:r>
    </w:p>
    <w:p w:rsidR="005219CE" w:rsidRPr="00C05703" w:rsidRDefault="005219CE" w:rsidP="005219CE">
      <w:pPr>
        <w:tabs>
          <w:tab w:val="left" w:pos="2977"/>
        </w:tabs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5219CE" w:rsidRPr="00C05703" w:rsidRDefault="005219CE" w:rsidP="005219CE">
      <w:pPr>
        <w:tabs>
          <w:tab w:val="left" w:pos="2977"/>
        </w:tabs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미카와</w:t>
      </w:r>
      <w:r>
        <w:rPr>
          <w:rFonts w:ascii="Batang" w:eastAsia="Batang" w:hAnsi="Batang" w:hint="eastAsia"/>
          <w:szCs w:val="21"/>
          <w:lang w:eastAsia="ko-KR"/>
        </w:rPr>
        <w:t xml:space="preserve"> 갱도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에 전시된 기관차를 통해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>에서 사용했던 열차의 변천사를 알 수 있습니다. 가장 오래된 열차는 1908년에 제작된 미국산 15톤급 전기 기관차입니다. 다른 열차로는 1911년에 제작된 독일산 20톤급 기관차, 미쓰비시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중공업이 1915년에 제작했으며 가장 오래된 국산 전기 기관차인 20톤급 기관차, 도시바가 1936년에 제작하여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폐쇄 전까지 사용되었던 45톤급 기관차가 있습니다.</w:t>
      </w:r>
    </w:p>
    <w:p w:rsidR="005219CE" w:rsidRPr="00C05703" w:rsidRDefault="005219CE" w:rsidP="005219CE">
      <w:pPr>
        <w:tabs>
          <w:tab w:val="left" w:pos="2977"/>
        </w:tabs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5219CE" w:rsidRPr="00C05703" w:rsidRDefault="005219CE" w:rsidP="005219CE">
      <w:pPr>
        <w:tabs>
          <w:tab w:val="left" w:pos="2977"/>
        </w:tabs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오늘날에도 오무타 주변에</w:t>
      </w:r>
      <w:r>
        <w:rPr>
          <w:rFonts w:ascii="Batang" w:eastAsia="Batang" w:hAnsi="Batang" w:hint="eastAsia"/>
          <w:szCs w:val="21"/>
          <w:lang w:eastAsia="ko-KR"/>
        </w:rPr>
        <w:t>는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오래된 철도의 도상과 벽돌 터널, 철교</w:t>
      </w:r>
      <w:r>
        <w:rPr>
          <w:rFonts w:ascii="Batang" w:eastAsia="Batang" w:hAnsi="Batang" w:hint="eastAsia"/>
          <w:szCs w:val="21"/>
          <w:lang w:eastAsia="ko-KR"/>
        </w:rPr>
        <w:t xml:space="preserve"> 등이 남아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있습니다. 방문객은 미야노하라</w:t>
      </w:r>
      <w:r>
        <w:rPr>
          <w:rFonts w:ascii="Batang" w:eastAsia="Batang" w:hAnsi="Batang" w:hint="eastAsia"/>
          <w:szCs w:val="21"/>
          <w:lang w:eastAsia="ko-KR"/>
        </w:rPr>
        <w:t xml:space="preserve"> 갱도</w:t>
      </w:r>
      <w:r>
        <w:rPr>
          <w:rFonts w:ascii="Batang" w:eastAsia="Batang" w:hAnsi="Batang"/>
          <w:szCs w:val="21"/>
          <w:lang w:eastAsia="ko-KR"/>
        </w:rPr>
        <w:t>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미야우라</w:t>
      </w:r>
      <w:r>
        <w:rPr>
          <w:rFonts w:ascii="Batang" w:eastAsia="Batang" w:hAnsi="Batang" w:hint="eastAsia"/>
          <w:szCs w:val="21"/>
          <w:lang w:eastAsia="ko-KR"/>
        </w:rPr>
        <w:t xml:space="preserve"> 갱도</w:t>
      </w:r>
      <w:r w:rsidRPr="00C05703">
        <w:rPr>
          <w:rFonts w:ascii="Batang" w:eastAsia="Batang" w:hAnsi="Batang" w:hint="eastAsia"/>
          <w:szCs w:val="21"/>
          <w:lang w:eastAsia="ko-KR"/>
        </w:rPr>
        <w:t>, 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항 부근에 있는 구 세관에서 목재 침목과 철제 레일을 볼 수 있습니다.</w:t>
      </w:r>
    </w:p>
    <w:p w:rsidR="005219CE" w:rsidRPr="00C05703" w:rsidRDefault="005219CE" w:rsidP="005219CE">
      <w:pPr>
        <w:tabs>
          <w:tab w:val="left" w:pos="2977"/>
        </w:tabs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5219CE" w:rsidRPr="00C05703" w:rsidRDefault="005219CE" w:rsidP="005219CE">
      <w:pPr>
        <w:tabs>
          <w:tab w:val="left" w:pos="2977"/>
        </w:tabs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2015년, 미이케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철도는 유네스코 세계문화유산</w:t>
      </w:r>
      <w:r>
        <w:rPr>
          <w:rFonts w:ascii="Batang" w:eastAsia="Batang" w:hAnsi="Batang" w:hint="eastAsia"/>
          <w:szCs w:val="21"/>
          <w:lang w:eastAsia="ko-KR"/>
        </w:rPr>
        <w:t>에 등재</w:t>
      </w:r>
      <w:r w:rsidRPr="00C05703">
        <w:rPr>
          <w:rFonts w:ascii="Batang" w:eastAsia="Batang" w:hAnsi="Batang" w:hint="eastAsia"/>
          <w:szCs w:val="21"/>
          <w:lang w:eastAsia="ko-KR"/>
        </w:rPr>
        <w:t>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CE"/>
    <w:rsid w:val="001A5971"/>
    <w:rsid w:val="005219C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4775A-D65D-422C-8672-E44CE277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9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9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9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9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9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9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9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19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19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19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1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1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1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1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1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19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1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1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1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9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19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1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19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1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